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A7838" w14:textId="30A291B0" w:rsidR="001E42F9" w:rsidRPr="00150271" w:rsidRDefault="001E42F9" w:rsidP="001E42F9">
      <w:pPr>
        <w:pStyle w:val="Heading1"/>
      </w:pPr>
      <w:r w:rsidRPr="004668C4">
        <w:t>Lecture</w:t>
      </w:r>
      <w:r w:rsidR="00F833E2">
        <w:t xml:space="preserve"> 12</w:t>
      </w:r>
      <w:r w:rsidRPr="004668C4">
        <w:t xml:space="preserve">: </w:t>
      </w:r>
      <w:r w:rsidR="00507E40">
        <w:t>Local s</w:t>
      </w:r>
      <w:r w:rsidR="00664446">
        <w:t>upply responsiveness</w:t>
      </w:r>
    </w:p>
    <w:p w14:paraId="3D929E5D" w14:textId="74278D98" w:rsidR="001E42F9" w:rsidRDefault="00B223D5" w:rsidP="001E42F9">
      <w:pPr>
        <w:rPr>
          <w:rFonts w:ascii="Cambria" w:hAnsi="Cambria"/>
          <w:u w:val="single"/>
        </w:rPr>
      </w:pPr>
      <w:r>
        <w:rPr>
          <w:noProof/>
          <w:u w:val="single"/>
        </w:rPr>
        <mc:AlternateContent>
          <mc:Choice Requires="wps">
            <w:drawing>
              <wp:anchor distT="0" distB="0" distL="114300" distR="114300" simplePos="0" relativeHeight="251658240" behindDoc="0" locked="0" layoutInCell="1" allowOverlap="1" wp14:anchorId="038AB6F7" wp14:editId="058E9FDD">
                <wp:simplePos x="0" y="0"/>
                <wp:positionH relativeFrom="column">
                  <wp:posOffset>-177165</wp:posOffset>
                </wp:positionH>
                <wp:positionV relativeFrom="paragraph">
                  <wp:posOffset>254635</wp:posOffset>
                </wp:positionV>
                <wp:extent cx="5557520" cy="1252220"/>
                <wp:effectExtent l="0" t="0" r="30480" b="17780"/>
                <wp:wrapTight wrapText="bothSides">
                  <wp:wrapPolygon edited="0">
                    <wp:start x="0" y="0"/>
                    <wp:lineTo x="0" y="21469"/>
                    <wp:lineTo x="21620" y="21469"/>
                    <wp:lineTo x="2162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520" cy="12522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CA1F88E" w14:textId="66F63A54" w:rsidR="00796FCA" w:rsidRPr="00150271" w:rsidRDefault="00796FCA" w:rsidP="001E42F9">
                            <w:pPr>
                              <w:rPr>
                                <w:rFonts w:ascii="Cambria" w:hAnsi="Cambria"/>
                                <w:u w:val="single"/>
                              </w:rPr>
                            </w:pPr>
                            <w:r>
                              <w:rPr>
                                <w:rFonts w:ascii="Cambria" w:hAnsi="Cambria"/>
                                <w:u w:val="single"/>
                              </w:rPr>
                              <w:t>Local supply responsiveness</w:t>
                            </w:r>
                          </w:p>
                          <w:p w14:paraId="7CC92C29" w14:textId="04AD4165" w:rsidR="00796FCA" w:rsidRDefault="00796FCA" w:rsidP="001E42F9">
                            <w:pPr>
                              <w:pStyle w:val="ListParagraph"/>
                              <w:numPr>
                                <w:ilvl w:val="0"/>
                                <w:numId w:val="2"/>
                              </w:numPr>
                              <w:rPr>
                                <w:rFonts w:ascii="Cambria" w:hAnsi="Cambria"/>
                              </w:rPr>
                            </w:pPr>
                            <w:r w:rsidRPr="00150271">
                              <w:rPr>
                                <w:rFonts w:ascii="Cambria" w:hAnsi="Cambria"/>
                              </w:rPr>
                              <w:t xml:space="preserve">Estimating </w:t>
                            </w:r>
                            <w:r>
                              <w:rPr>
                                <w:rFonts w:ascii="Cambria" w:hAnsi="Cambria"/>
                              </w:rPr>
                              <w:t>local s</w:t>
                            </w:r>
                            <w:r w:rsidRPr="00150271">
                              <w:rPr>
                                <w:rFonts w:ascii="Cambria" w:hAnsi="Cambria"/>
                              </w:rPr>
                              <w:t xml:space="preserve">upply </w:t>
                            </w:r>
                            <w:r>
                              <w:rPr>
                                <w:rFonts w:ascii="Cambria" w:hAnsi="Cambria"/>
                              </w:rPr>
                              <w:t>r</w:t>
                            </w:r>
                            <w:r w:rsidRPr="00150271">
                              <w:rPr>
                                <w:rFonts w:ascii="Cambria" w:hAnsi="Cambria"/>
                              </w:rPr>
                              <w:t xml:space="preserve">esponsiveness </w:t>
                            </w:r>
                          </w:p>
                          <w:p w14:paraId="1BCC41E2" w14:textId="06083A32" w:rsidR="00796FCA" w:rsidRDefault="00796FCA" w:rsidP="001E42F9">
                            <w:pPr>
                              <w:pStyle w:val="ListParagraph"/>
                              <w:numPr>
                                <w:ilvl w:val="0"/>
                                <w:numId w:val="2"/>
                              </w:numPr>
                              <w:rPr>
                                <w:rFonts w:ascii="Cambria" w:hAnsi="Cambria"/>
                              </w:rPr>
                            </w:pPr>
                            <w:r>
                              <w:rPr>
                                <w:rFonts w:ascii="Cambria" w:hAnsi="Cambria"/>
                              </w:rPr>
                              <w:t>Adding in demand</w:t>
                            </w:r>
                          </w:p>
                          <w:p w14:paraId="2E88DE20" w14:textId="475EB16B" w:rsidR="00796FCA" w:rsidRPr="00792FF8" w:rsidRDefault="00796FCA" w:rsidP="00B223D5">
                            <w:pPr>
                              <w:pStyle w:val="ListParagraph"/>
                              <w:numPr>
                                <w:ilvl w:val="0"/>
                                <w:numId w:val="2"/>
                              </w:numPr>
                              <w:rPr>
                                <w:rFonts w:ascii="Cambria" w:hAnsi="Cambria"/>
                              </w:rPr>
                            </w:pPr>
                            <w:r>
                              <w:rPr>
                                <w:rFonts w:ascii="Cambria" w:hAnsi="Cambria"/>
                              </w:rPr>
                              <w:t xml:space="preserve">Example of local responsiveness in Bangladesh </w:t>
                            </w:r>
                          </w:p>
                          <w:p w14:paraId="5CCE2A85" w14:textId="308C47EF" w:rsidR="00796FCA" w:rsidRPr="00792FF8" w:rsidRDefault="00796FCA" w:rsidP="003A0606">
                            <w:pPr>
                              <w:pStyle w:val="ListParagraph"/>
                              <w:numPr>
                                <w:ilvl w:val="0"/>
                                <w:numId w:val="2"/>
                              </w:numPr>
                              <w:rPr>
                                <w:rFonts w:ascii="Cambria" w:hAnsi="Cambria"/>
                              </w:rPr>
                            </w:pPr>
                            <w:r>
                              <w:rPr>
                                <w:rFonts w:ascii="Cambria" w:hAnsi="Cambria"/>
                              </w:rPr>
                              <w:t>Example of local responsiveness in northern Kenya</w:t>
                            </w:r>
                          </w:p>
                          <w:p w14:paraId="790B3011" w14:textId="77777777" w:rsidR="00796FCA" w:rsidRPr="003F095A" w:rsidRDefault="00796FCA" w:rsidP="001E42F9">
                            <w:pPr>
                              <w:ind w:left="360"/>
                              <w:rPr>
                                <w:rFonts w:ascii="Cambria" w:hAnsi="Cambri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3.9pt;margin-top:20.05pt;width:437.6pt;height:9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" filled="f" strokecolor="black [3213]">
                <v:textbox inset=",7.2pt,,7.2pt">
                  <w:txbxContent>
                    <w:p w14:paraId="4CA1F88E" w14:textId="66F63A54" w:rsidR="00EE2241" w:rsidRPr="00150271" w:rsidRDefault="00EE2241" w:rsidP="001E42F9">
                      <w:pPr>
                        <w:rPr>
                          <w:rFonts w:ascii="Cambria" w:hAnsi="Cambria"/>
                          <w:u w:val="single"/>
                        </w:rPr>
                      </w:pPr>
                      <w:r>
                        <w:rPr>
                          <w:rFonts w:ascii="Cambria" w:hAnsi="Cambria"/>
                          <w:u w:val="single"/>
                        </w:rPr>
                        <w:t>Local supply responsiveness</w:t>
                      </w:r>
                    </w:p>
                    <w:p w14:paraId="7CC92C29" w14:textId="04AD4165" w:rsidR="00EE2241" w:rsidRDefault="00EE2241" w:rsidP="001E42F9">
                      <w:pPr>
                        <w:pStyle w:val="ListParagraph"/>
                        <w:numPr>
                          <w:ilvl w:val="0"/>
                          <w:numId w:val="2"/>
                        </w:numPr>
                        <w:rPr>
                          <w:rFonts w:ascii="Cambria" w:hAnsi="Cambria"/>
                        </w:rPr>
                      </w:pPr>
                      <w:bookmarkStart w:id="1" w:name="_GoBack"/>
                      <w:r w:rsidRPr="00150271">
                        <w:rPr>
                          <w:rFonts w:ascii="Cambria" w:hAnsi="Cambria"/>
                        </w:rPr>
                        <w:t xml:space="preserve">Estimating </w:t>
                      </w:r>
                      <w:r w:rsidR="003A0606">
                        <w:rPr>
                          <w:rFonts w:ascii="Cambria" w:hAnsi="Cambria"/>
                        </w:rPr>
                        <w:t xml:space="preserve">local </w:t>
                      </w:r>
                      <w:r>
                        <w:rPr>
                          <w:rFonts w:ascii="Cambria" w:hAnsi="Cambria"/>
                        </w:rPr>
                        <w:t>s</w:t>
                      </w:r>
                      <w:r w:rsidRPr="00150271">
                        <w:rPr>
                          <w:rFonts w:ascii="Cambria" w:hAnsi="Cambria"/>
                        </w:rPr>
                        <w:t xml:space="preserve">upply </w:t>
                      </w:r>
                      <w:r>
                        <w:rPr>
                          <w:rFonts w:ascii="Cambria" w:hAnsi="Cambria"/>
                        </w:rPr>
                        <w:t>r</w:t>
                      </w:r>
                      <w:r w:rsidRPr="00150271">
                        <w:rPr>
                          <w:rFonts w:ascii="Cambria" w:hAnsi="Cambria"/>
                        </w:rPr>
                        <w:t xml:space="preserve">esponsiveness </w:t>
                      </w:r>
                    </w:p>
                    <w:p w14:paraId="1BCC41E2" w14:textId="06083A32" w:rsidR="003A0606" w:rsidRDefault="003A0606" w:rsidP="001E42F9">
                      <w:pPr>
                        <w:pStyle w:val="ListParagraph"/>
                        <w:numPr>
                          <w:ilvl w:val="0"/>
                          <w:numId w:val="2"/>
                        </w:numPr>
                        <w:rPr>
                          <w:rFonts w:ascii="Cambria" w:hAnsi="Cambria"/>
                        </w:rPr>
                      </w:pPr>
                      <w:r>
                        <w:rPr>
                          <w:rFonts w:ascii="Cambria" w:hAnsi="Cambria"/>
                        </w:rPr>
                        <w:t>Adding in demand</w:t>
                      </w:r>
                    </w:p>
                    <w:p w14:paraId="2E88DE20" w14:textId="475EB16B" w:rsidR="00EE2241" w:rsidRPr="00792FF8" w:rsidRDefault="003A0606" w:rsidP="00B223D5">
                      <w:pPr>
                        <w:pStyle w:val="ListParagraph"/>
                        <w:numPr>
                          <w:ilvl w:val="0"/>
                          <w:numId w:val="2"/>
                        </w:numPr>
                        <w:rPr>
                          <w:rFonts w:ascii="Cambria" w:hAnsi="Cambria"/>
                        </w:rPr>
                      </w:pPr>
                      <w:r>
                        <w:rPr>
                          <w:rFonts w:ascii="Cambria" w:hAnsi="Cambria"/>
                        </w:rPr>
                        <w:t>E</w:t>
                      </w:r>
                      <w:r w:rsidR="00B230B9">
                        <w:rPr>
                          <w:rFonts w:ascii="Cambria" w:hAnsi="Cambria"/>
                        </w:rPr>
                        <w:t>xample of local</w:t>
                      </w:r>
                      <w:r w:rsidR="00EE2241">
                        <w:rPr>
                          <w:rFonts w:ascii="Cambria" w:hAnsi="Cambria"/>
                        </w:rPr>
                        <w:t xml:space="preserve"> responsiveness in Bangladesh </w:t>
                      </w:r>
                    </w:p>
                    <w:p w14:paraId="5CCE2A85" w14:textId="308C47EF" w:rsidR="003A0606" w:rsidRPr="00792FF8" w:rsidRDefault="003A0606" w:rsidP="003A0606">
                      <w:pPr>
                        <w:pStyle w:val="ListParagraph"/>
                        <w:numPr>
                          <w:ilvl w:val="0"/>
                          <w:numId w:val="2"/>
                        </w:numPr>
                        <w:rPr>
                          <w:rFonts w:ascii="Cambria" w:hAnsi="Cambria"/>
                        </w:rPr>
                      </w:pPr>
                      <w:r>
                        <w:rPr>
                          <w:rFonts w:ascii="Cambria" w:hAnsi="Cambria"/>
                        </w:rPr>
                        <w:t>E</w:t>
                      </w:r>
                      <w:r w:rsidR="00B230B9">
                        <w:rPr>
                          <w:rFonts w:ascii="Cambria" w:hAnsi="Cambria"/>
                        </w:rPr>
                        <w:t xml:space="preserve">xample of local </w:t>
                      </w:r>
                      <w:r>
                        <w:rPr>
                          <w:rFonts w:ascii="Cambria" w:hAnsi="Cambria"/>
                        </w:rPr>
                        <w:t>responsiveness in northern Kenya</w:t>
                      </w:r>
                    </w:p>
                    <w:bookmarkEnd w:id="1"/>
                    <w:p w14:paraId="790B3011" w14:textId="77777777" w:rsidR="00EE2241" w:rsidRPr="003F095A" w:rsidRDefault="00EE2241" w:rsidP="001E42F9">
                      <w:pPr>
                        <w:ind w:left="360"/>
                        <w:rPr>
                          <w:rFonts w:ascii="Cambria" w:hAnsi="Cambria"/>
                        </w:rPr>
                      </w:pPr>
                    </w:p>
                  </w:txbxContent>
                </v:textbox>
                <w10:wrap type="tight"/>
              </v:shape>
            </w:pict>
          </mc:Fallback>
        </mc:AlternateContent>
      </w:r>
    </w:p>
    <w:p w14:paraId="3CD21B18" w14:textId="1E879A2D" w:rsidR="001E42F9" w:rsidRPr="00E015A1" w:rsidRDefault="001E42F9" w:rsidP="001E42F9">
      <w:pPr>
        <w:rPr>
          <w:u w:val="single"/>
        </w:rPr>
      </w:pPr>
    </w:p>
    <w:p w14:paraId="510995C8" w14:textId="32DA07C7" w:rsidR="00895540" w:rsidRDefault="00507E40" w:rsidP="00895540">
      <w:pPr>
        <w:rPr>
          <w:rFonts w:ascii="Cambria" w:eastAsia="Cambria" w:hAnsi="Cambria" w:cs="Times New Roman"/>
        </w:rPr>
      </w:pPr>
      <w:r>
        <w:t xml:space="preserve">It is not necessary to estimate </w:t>
      </w:r>
      <w:r w:rsidR="00E820C8">
        <w:t xml:space="preserve">local supply responsiveness in well-integrated markets. </w:t>
      </w:r>
      <w:r w:rsidR="00895540">
        <w:rPr>
          <w:rFonts w:ascii="Cambria" w:eastAsia="Cambria" w:hAnsi="Cambria" w:cs="Times New Roman"/>
        </w:rPr>
        <w:t>In a local market perfectly integrated into the global economy with no logistical or financing constraints, supply should be almost perfectly elastic, meaning cash injected into the local market to stimulate demand should elicit a corresponding supply response</w:t>
      </w:r>
      <w:r w:rsidR="00796FCA">
        <w:rPr>
          <w:rFonts w:ascii="Cambria" w:eastAsia="Cambria" w:hAnsi="Cambria" w:cs="Times New Roman"/>
        </w:rPr>
        <w:t xml:space="preserve"> (i.e., an inflow of product)</w:t>
      </w:r>
      <w:r w:rsidR="00895540">
        <w:rPr>
          <w:rFonts w:ascii="Cambria" w:eastAsia="Cambria" w:hAnsi="Cambria" w:cs="Times New Roman"/>
        </w:rPr>
        <w:t xml:space="preserve"> at the pre-existing price. </w:t>
      </w:r>
      <w:r w:rsidR="001E42F9">
        <w:t xml:space="preserve">As discussed in earlier lectures, </w:t>
      </w:r>
      <w:r w:rsidR="00895540">
        <w:t>if</w:t>
      </w:r>
      <w:r w:rsidR="001E42F9">
        <w:t xml:space="preserve"> local market prices </w:t>
      </w:r>
      <w:r w:rsidR="00730528">
        <w:t xml:space="preserve">closely </w:t>
      </w:r>
      <w:r w:rsidR="001E42F9">
        <w:t xml:space="preserve">track prices in spatially distant markets, those markets are integrated, implying that food is routinely tradable between them. In integrated markets, traders will have incentives to import additional food into the local market if the prevailing price at least covers their marginal cost of bringing in greater volumes. </w:t>
      </w:r>
      <w:r w:rsidR="00EB268D">
        <w:t>An injection of cash can induce increased flow of product from other markets with which the local market is closely linked.</w:t>
      </w:r>
      <w:r w:rsidR="00895540">
        <w:t xml:space="preserve"> </w:t>
      </w:r>
    </w:p>
    <w:p w14:paraId="6377AE57" w14:textId="77777777" w:rsidR="00052287" w:rsidRDefault="00052287" w:rsidP="001E42F9"/>
    <w:p w14:paraId="3ACA50A4" w14:textId="54985DF9" w:rsidR="00507E40" w:rsidRPr="00864534" w:rsidRDefault="00507E40" w:rsidP="001E42F9">
      <w:pPr>
        <w:rPr>
          <w:i/>
        </w:rPr>
      </w:pPr>
      <w:r w:rsidRPr="00864534">
        <w:rPr>
          <w:i/>
        </w:rPr>
        <w:t>If an analyst can establish that m</w:t>
      </w:r>
      <w:r w:rsidR="00E820C8" w:rsidRPr="00864534">
        <w:rPr>
          <w:i/>
        </w:rPr>
        <w:t xml:space="preserve">arkets are well integrated, </w:t>
      </w:r>
      <w:r w:rsidRPr="00864534">
        <w:rPr>
          <w:i/>
        </w:rPr>
        <w:t>that</w:t>
      </w:r>
      <w:r w:rsidR="00D354BA" w:rsidRPr="00864534">
        <w:rPr>
          <w:i/>
        </w:rPr>
        <w:t xml:space="preserve"> </w:t>
      </w:r>
      <w:r w:rsidR="00052287" w:rsidRPr="00864534">
        <w:rPr>
          <w:i/>
        </w:rPr>
        <w:t xml:space="preserve">local markets are competitive (e.g., </w:t>
      </w:r>
      <w:r w:rsidR="00D354BA" w:rsidRPr="00864534">
        <w:rPr>
          <w:i/>
        </w:rPr>
        <w:t>there are enoug</w:t>
      </w:r>
      <w:r w:rsidR="00052287" w:rsidRPr="00864534">
        <w:rPr>
          <w:i/>
        </w:rPr>
        <w:t xml:space="preserve">h traders and/or adequate </w:t>
      </w:r>
      <w:r w:rsidR="00D354BA" w:rsidRPr="00864534">
        <w:rPr>
          <w:i/>
        </w:rPr>
        <w:t>ease of entry and exit of traders</w:t>
      </w:r>
      <w:r w:rsidR="00052287" w:rsidRPr="00864534">
        <w:rPr>
          <w:i/>
        </w:rPr>
        <w:t>)</w:t>
      </w:r>
      <w:r w:rsidR="00D354BA" w:rsidRPr="00864534">
        <w:rPr>
          <w:i/>
        </w:rPr>
        <w:t>, that</w:t>
      </w:r>
      <w:r w:rsidRPr="00864534">
        <w:rPr>
          <w:i/>
        </w:rPr>
        <w:t xml:space="preserve"> food insecure households have adequate market access and</w:t>
      </w:r>
      <w:r w:rsidR="00E820C8" w:rsidRPr="00864534">
        <w:rPr>
          <w:i/>
        </w:rPr>
        <w:t xml:space="preserve"> that </w:t>
      </w:r>
      <w:r w:rsidR="00052287" w:rsidRPr="00864534">
        <w:rPr>
          <w:i/>
        </w:rPr>
        <w:t>preferences do not indicate an underlying, unmet concern about cash and vouchers, cash and vouchers are likely suitable.</w:t>
      </w:r>
      <w:r w:rsidR="00864534">
        <w:rPr>
          <w:i/>
        </w:rPr>
        <w:t xml:space="preserve"> Similarly, </w:t>
      </w:r>
      <w:r w:rsidR="00864534">
        <w:rPr>
          <w:i/>
        </w:rPr>
        <w:t>procurements are not likely to cause price increases in well-integrated procurement markets.</w:t>
      </w:r>
    </w:p>
    <w:p w14:paraId="096699CB" w14:textId="77777777" w:rsidR="001E42F9" w:rsidRDefault="001E42F9" w:rsidP="001E42F9">
      <w:pPr>
        <w:rPr>
          <w:b/>
        </w:rPr>
      </w:pPr>
    </w:p>
    <w:p w14:paraId="638FB2B3" w14:textId="57A247B8" w:rsidR="00A92C81" w:rsidRPr="006F3ABD" w:rsidRDefault="003A0606" w:rsidP="001E42F9">
      <w:pPr>
        <w:rPr>
          <w:b/>
        </w:rPr>
      </w:pPr>
      <w:r>
        <w:rPr>
          <w:b/>
        </w:rPr>
        <w:t>Estimating</w:t>
      </w:r>
      <w:r w:rsidR="006F3ABD" w:rsidRPr="00185933">
        <w:rPr>
          <w:b/>
        </w:rPr>
        <w:t xml:space="preserve"> </w:t>
      </w:r>
      <w:r w:rsidR="006F3ABD">
        <w:rPr>
          <w:b/>
        </w:rPr>
        <w:t>local s</w:t>
      </w:r>
      <w:r w:rsidR="006F3ABD" w:rsidRPr="00185933">
        <w:rPr>
          <w:b/>
        </w:rPr>
        <w:t xml:space="preserve">upplier </w:t>
      </w:r>
      <w:r w:rsidR="006F3ABD">
        <w:rPr>
          <w:b/>
        </w:rPr>
        <w:t>r</w:t>
      </w:r>
      <w:r w:rsidR="006F3ABD" w:rsidRPr="00185933">
        <w:rPr>
          <w:b/>
        </w:rPr>
        <w:t>esponsiveness</w:t>
      </w:r>
    </w:p>
    <w:p w14:paraId="263ED301" w14:textId="68C4BF6C" w:rsidR="001E42F9" w:rsidRDefault="00E76C67" w:rsidP="001E42F9">
      <w:pPr>
        <w:rPr>
          <w:rFonts w:ascii="Cambria" w:eastAsia="Cambria" w:hAnsi="Cambria" w:cs="Times New Roman"/>
        </w:rPr>
      </w:pPr>
      <w:r>
        <w:rPr>
          <w:rFonts w:ascii="Cambria" w:eastAsia="Cambria" w:hAnsi="Cambria" w:cs="Times New Roman"/>
        </w:rPr>
        <w:t xml:space="preserve">Unfortunately, small, rural markets in developing countries are </w:t>
      </w:r>
      <w:r w:rsidR="00796FCA">
        <w:rPr>
          <w:rFonts w:ascii="Cambria" w:eastAsia="Cambria" w:hAnsi="Cambria" w:cs="Times New Roman"/>
        </w:rPr>
        <w:t xml:space="preserve">often not </w:t>
      </w:r>
      <w:proofErr w:type="gramStart"/>
      <w:r>
        <w:rPr>
          <w:rFonts w:ascii="Cambria" w:eastAsia="Cambria" w:hAnsi="Cambria" w:cs="Times New Roman"/>
        </w:rPr>
        <w:t>well-integrated</w:t>
      </w:r>
      <w:proofErr w:type="gramEnd"/>
      <w:r>
        <w:rPr>
          <w:rFonts w:ascii="Cambria" w:eastAsia="Cambria" w:hAnsi="Cambria" w:cs="Times New Roman"/>
        </w:rPr>
        <w:t xml:space="preserve"> with larger markets and/or lack adequate historical data to enable market integration calculations</w:t>
      </w:r>
      <w:r w:rsidR="001E42F9">
        <w:rPr>
          <w:rFonts w:ascii="Cambria" w:eastAsia="Cambria" w:hAnsi="Cambria" w:cs="Times New Roman"/>
        </w:rPr>
        <w:t xml:space="preserve">. </w:t>
      </w:r>
      <w:r w:rsidR="006F3ABD">
        <w:t xml:space="preserve">When markets are isolated or poorly integrated, cash distributions may result in </w:t>
      </w:r>
      <w:r w:rsidR="00796FCA">
        <w:t xml:space="preserve">local </w:t>
      </w:r>
      <w:r w:rsidR="006F3ABD">
        <w:t xml:space="preserve">inflation rather than an increased supply of goods into the local market. </w:t>
      </w:r>
      <w:r w:rsidR="001E42F9">
        <w:rPr>
          <w:rFonts w:ascii="Cambria" w:eastAsia="Cambria" w:hAnsi="Cambria" w:cs="Times New Roman"/>
        </w:rPr>
        <w:t xml:space="preserve">So the key question is how much added supply can local commercial traders provide and at what price.  </w:t>
      </w:r>
      <w:r w:rsidR="006F3ABD" w:rsidRPr="00F55A90">
        <w:t>If data for market integration are not available, consider estimating marginal costs in order to assess supply responsiveness.</w:t>
      </w:r>
      <w:r w:rsidR="006F3ABD">
        <w:t xml:space="preserve"> </w:t>
      </w:r>
      <w:r w:rsidR="00F47B2E">
        <w:rPr>
          <w:rFonts w:ascii="Cambria" w:eastAsia="Cambria" w:hAnsi="Cambria" w:cs="Times New Roman"/>
        </w:rPr>
        <w:t xml:space="preserve">Answering this question </w:t>
      </w:r>
      <w:r w:rsidR="001E42F9">
        <w:rPr>
          <w:rFonts w:ascii="Cambria" w:eastAsia="Cambria" w:hAnsi="Cambria" w:cs="Times New Roman"/>
        </w:rPr>
        <w:t>effectively requires estimating the prevailing local supply curve, that is, the amount of foodstuffs that local markets can deliver at different price levels. One needs to establish the total local cost (procurement cost in some distant market plus transport cos</w:t>
      </w:r>
      <w:r w:rsidR="001E42F9">
        <w:rPr>
          <w:rFonts w:ascii="Cambria" w:eastAsia="Cambria" w:hAnsi="Cambria" w:cs="Times New Roman"/>
        </w:rPr>
        <w:t xml:space="preserve">ts, credit, insurance, </w:t>
      </w:r>
      <w:r w:rsidR="001E42F9">
        <w:rPr>
          <w:rFonts w:ascii="Cambria" w:eastAsia="Cambria" w:hAnsi="Cambria" w:cs="Times New Roman"/>
        </w:rPr>
        <w:lastRenderedPageBreak/>
        <w:t xml:space="preserve">etc.) for additional supplies. The greater </w:t>
      </w:r>
      <w:r w:rsidR="00F47B2E">
        <w:rPr>
          <w:rFonts w:ascii="Cambria" w:eastAsia="Cambria" w:hAnsi="Cambria" w:cs="Times New Roman"/>
        </w:rPr>
        <w:t xml:space="preserve">a </w:t>
      </w:r>
      <w:r w:rsidR="001E42F9">
        <w:rPr>
          <w:rFonts w:ascii="Cambria" w:eastAsia="Cambria" w:hAnsi="Cambria" w:cs="Times New Roman"/>
        </w:rPr>
        <w:t xml:space="preserve">traders’ capacity to increase delivery volumes at the pre-existing price or a level near it, the greater </w:t>
      </w:r>
      <w:r w:rsidR="0005254B">
        <w:rPr>
          <w:rFonts w:ascii="Cambria" w:eastAsia="Cambria" w:hAnsi="Cambria" w:cs="Times New Roman"/>
        </w:rPr>
        <w:t xml:space="preserve">is </w:t>
      </w:r>
      <w:r w:rsidR="001E42F9">
        <w:rPr>
          <w:rFonts w:ascii="Cambria" w:eastAsia="Cambria" w:hAnsi="Cambria" w:cs="Times New Roman"/>
        </w:rPr>
        <w:t xml:space="preserve">the scope for cash-based response. </w:t>
      </w:r>
    </w:p>
    <w:p w14:paraId="5331925F" w14:textId="77777777" w:rsidR="001E42F9" w:rsidRDefault="001E42F9" w:rsidP="001E42F9">
      <w:pPr>
        <w:rPr>
          <w:rFonts w:ascii="Cambria" w:eastAsia="Cambria" w:hAnsi="Cambria" w:cs="Times New Roman"/>
        </w:rPr>
      </w:pPr>
    </w:p>
    <w:p w14:paraId="53973B19" w14:textId="37A9D5C7" w:rsidR="001E42F9" w:rsidRPr="00595413" w:rsidRDefault="003C1EA0" w:rsidP="001E42F9">
      <w:r>
        <w:t>T</w:t>
      </w:r>
      <w:r w:rsidR="00B15141">
        <w:t xml:space="preserve">he usefulness of </w:t>
      </w:r>
      <w:r w:rsidR="000C085E">
        <w:t xml:space="preserve">estimating the supply curve </w:t>
      </w:r>
      <w:r w:rsidR="001E42F9">
        <w:t>is reflected in the accompanying stylized graphic. Cash transfers – or any sort of transfer, including food aid – augment local demand for food. If local supply is infinitely elastic, as in the case of the dashed horizontal line, then prices are unchanged as transfers to food insecure households pushes out the demand curve (reflected in the shift from the lower downward-sloping curve marked “Base Demand” to the upper downward-sloping curve marked “Augmented Demand”). In this extreme situation, cash transfers are clearly first best. The opposite extreme is the case of perfectly inelastic supply, represented by the solid vertical line. In</w:t>
      </w:r>
      <w:r w:rsidR="00B1392D">
        <w:t xml:space="preserve"> the case of</w:t>
      </w:r>
      <w:r w:rsidR="00F21B06">
        <w:t xml:space="preserve"> perfectly inelastic supply</w:t>
      </w:r>
      <w:r w:rsidR="001E42F9">
        <w:t>, cash transfers push out the demand curve and only bid up the price of food without increasing consumption (as reflected by the point of intersection of the demand and supply curves relative to the horizontal axis). In such circumstances, supply augmentation through noncommercial imports of food aid is clearly necessary</w:t>
      </w:r>
      <w:r w:rsidR="00796FCA">
        <w:t xml:space="preserve"> to improve food security</w:t>
      </w:r>
      <w:r w:rsidR="001E42F9">
        <w:t xml:space="preserve">. Real markets almost always fall between these two extremes, with some smooth or, more commonly, stepwise cost structure to expanding supply.  In this step, the response analyst tries to </w:t>
      </w:r>
      <w:r w:rsidR="00BF04FC">
        <w:t xml:space="preserve">draw (i.e., approximate) </w:t>
      </w:r>
      <w:r w:rsidR="00A42020">
        <w:t>the</w:t>
      </w:r>
      <w:r w:rsidR="001E42F9">
        <w:t xml:space="preserve"> supply curve.</w:t>
      </w:r>
    </w:p>
    <w:p w14:paraId="6BC3073F" w14:textId="77777777" w:rsidR="001E42F9" w:rsidRDefault="001E42F9" w:rsidP="001E42F9">
      <w:pPr>
        <w:rPr>
          <w:rFonts w:ascii="Cambria" w:eastAsia="Cambria" w:hAnsi="Cambria" w:cs="Times New Roman"/>
        </w:rPr>
      </w:pPr>
      <w:r w:rsidRPr="00345035">
        <w:rPr>
          <w:rFonts w:ascii="Cambria" w:eastAsia="Cambria" w:hAnsi="Cambria" w:cs="Times New Roman"/>
          <w:noProof/>
        </w:rPr>
        <w:drawing>
          <wp:inline distT="0" distB="0" distL="0" distR="0" wp14:anchorId="7B99D221" wp14:editId="571F493A">
            <wp:extent cx="5486400" cy="3636452"/>
            <wp:effectExtent l="0" t="0" r="0" b="0"/>
            <wp:docPr id="25"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369483C" w14:textId="6BBC013D" w:rsidR="00F21B06" w:rsidRDefault="00A427A0" w:rsidP="001E42F9">
      <w:pPr>
        <w:rPr>
          <w:rFonts w:ascii="Cambria" w:eastAsia="Cambria" w:hAnsi="Cambria" w:cs="Times New Roman"/>
        </w:rPr>
      </w:pPr>
      <w:r>
        <w:rPr>
          <w:rFonts w:ascii="Cambria" w:eastAsia="Cambria" w:hAnsi="Cambria" w:cs="Times New Roman"/>
        </w:rPr>
        <w:t>Source: Barrett (2009)</w:t>
      </w:r>
    </w:p>
    <w:p w14:paraId="0556BDCC" w14:textId="77777777" w:rsidR="00A427A0" w:rsidRDefault="00A427A0" w:rsidP="001E42F9">
      <w:pPr>
        <w:rPr>
          <w:rFonts w:ascii="Cambria" w:eastAsia="Cambria" w:hAnsi="Cambria" w:cs="Times New Roman"/>
        </w:rPr>
      </w:pPr>
    </w:p>
    <w:p w14:paraId="5BEAC022" w14:textId="18C80A50" w:rsidR="004A3448" w:rsidRPr="003A0606" w:rsidRDefault="004A3448" w:rsidP="001E42F9">
      <w:pPr>
        <w:rPr>
          <w:rFonts w:ascii="Cambria" w:eastAsia="Cambria" w:hAnsi="Cambria" w:cs="Times New Roman"/>
          <w:i/>
          <w:u w:val="single"/>
        </w:rPr>
      </w:pPr>
      <w:r w:rsidRPr="003A0606">
        <w:rPr>
          <w:rFonts w:ascii="Cambria" w:eastAsia="Cambria" w:hAnsi="Cambria" w:cs="Times New Roman"/>
          <w:i/>
          <w:u w:val="single"/>
        </w:rPr>
        <w:t>Discussions with traders</w:t>
      </w:r>
      <w:r w:rsidR="004506EB" w:rsidRPr="003A0606">
        <w:rPr>
          <w:rFonts w:ascii="Cambria" w:eastAsia="Cambria" w:hAnsi="Cambria" w:cs="Times New Roman"/>
          <w:i/>
          <w:u w:val="single"/>
        </w:rPr>
        <w:t xml:space="preserve"> to understand supply responsiveness</w:t>
      </w:r>
    </w:p>
    <w:p w14:paraId="4904D141" w14:textId="668EB091" w:rsidR="001E42F9" w:rsidRDefault="001E42F9" w:rsidP="001E42F9">
      <w:pPr>
        <w:rPr>
          <w:rFonts w:ascii="Cambria" w:eastAsia="Cambria" w:hAnsi="Cambria" w:cs="Times New Roman"/>
        </w:rPr>
      </w:pPr>
      <w:r w:rsidRPr="007B2D9D">
        <w:rPr>
          <w:rFonts w:ascii="Cambria" w:eastAsia="Cambria" w:hAnsi="Cambria" w:cs="Times New Roman"/>
        </w:rPr>
        <w:t xml:space="preserve">The </w:t>
      </w:r>
      <w:r w:rsidR="009F0A20">
        <w:rPr>
          <w:rFonts w:ascii="Cambria" w:eastAsia="Cambria" w:hAnsi="Cambria" w:cs="Times New Roman"/>
        </w:rPr>
        <w:t>goal of drawing out the supply curve</w:t>
      </w:r>
      <w:r w:rsidRPr="007B2D9D">
        <w:rPr>
          <w:rFonts w:ascii="Cambria" w:eastAsia="Cambria" w:hAnsi="Cambria" w:cs="Times New Roman"/>
        </w:rPr>
        <w:t xml:space="preserve"> is to recover marginal costs for any </w:t>
      </w:r>
      <w:r w:rsidRPr="007B2D9D">
        <w:rPr>
          <w:rFonts w:ascii="Cambria" w:eastAsia="Cambria" w:hAnsi="Cambria" w:cs="Times New Roman"/>
          <w:i/>
        </w:rPr>
        <w:t>additional</w:t>
      </w:r>
      <w:r w:rsidRPr="007B2D9D">
        <w:rPr>
          <w:rFonts w:ascii="Cambria" w:eastAsia="Cambria" w:hAnsi="Cambria" w:cs="Times New Roman"/>
        </w:rPr>
        <w:t xml:space="preserve"> volumes traders would deliver into a market. A supply curve is the locus </w:t>
      </w:r>
      <w:r w:rsidRPr="007B2D9D">
        <w:rPr>
          <w:rFonts w:ascii="Cambria" w:eastAsia="Cambria" w:hAnsi="Cambria" w:cs="Times New Roman"/>
        </w:rPr>
        <w:lastRenderedPageBreak/>
        <w:t xml:space="preserve">of marginal costs for different delivery volumes. So one is simply trying to trace out how much it would cost to augment current deliveries by 1 ton, 2 tons, 3 tons, etc. up to the total assessed needs. This is usually best done through trader and key informant interviews (e.g., with banks and transporters) to establish what, if any, costs might increase for traders (i.e., procurement cost of food wherever they source it, transport and handling costs, short-term credit for operating expenses, etc.). If one does trader interviews, a simple questionnaire </w:t>
      </w:r>
      <w:r w:rsidR="007845AA">
        <w:rPr>
          <w:rFonts w:ascii="Cambria" w:eastAsia="Cambria" w:hAnsi="Cambria" w:cs="Times New Roman"/>
        </w:rPr>
        <w:t>can solicit information on</w:t>
      </w:r>
      <w:r w:rsidRPr="007B2D9D">
        <w:rPr>
          <w:rFonts w:ascii="Cambria" w:eastAsia="Cambria" w:hAnsi="Cambria" w:cs="Times New Roman"/>
        </w:rPr>
        <w:t xml:space="preserve"> how much extra it would cost to bring in different addit</w:t>
      </w:r>
      <w:r w:rsidR="009F0A20">
        <w:rPr>
          <w:rFonts w:ascii="Cambria" w:eastAsia="Cambria" w:hAnsi="Cambria" w:cs="Times New Roman"/>
        </w:rPr>
        <w:t>ional increments (</w:t>
      </w:r>
      <w:r w:rsidRPr="007B2D9D">
        <w:rPr>
          <w:rFonts w:ascii="Cambria" w:eastAsia="Cambria" w:hAnsi="Cambria" w:cs="Times New Roman"/>
        </w:rPr>
        <w:t>appropriate units will vary by context, fr</w:t>
      </w:r>
      <w:r w:rsidR="009F0A20">
        <w:rPr>
          <w:rFonts w:ascii="Cambria" w:eastAsia="Cambria" w:hAnsi="Cambria" w:cs="Times New Roman"/>
        </w:rPr>
        <w:t>om one ton to hundreds of tons) broken down into cost types. Include costs such as</w:t>
      </w:r>
      <w:r w:rsidRPr="007B2D9D">
        <w:rPr>
          <w:rFonts w:ascii="Cambria" w:eastAsia="Cambria" w:hAnsi="Cambria" w:cs="Times New Roman"/>
        </w:rPr>
        <w:t xml:space="preserve"> procurement price in source market, transport costs, handling costs, credit, storage costs, tariffs/taxes/fees, etc. Record the resulting costs and volumes for each trader. Cumulatively, these create the aggregate supply curve in the local market.  </w:t>
      </w:r>
    </w:p>
    <w:p w14:paraId="7B4493AE" w14:textId="77777777" w:rsidR="004506EB" w:rsidRDefault="004506EB" w:rsidP="001E42F9">
      <w:pPr>
        <w:rPr>
          <w:rFonts w:ascii="Cambria" w:eastAsia="Cambria" w:hAnsi="Cambria" w:cs="Times New Roman"/>
        </w:rPr>
      </w:pPr>
    </w:p>
    <w:p w14:paraId="17559638" w14:textId="77777777" w:rsidR="002F320A" w:rsidRDefault="004506EB" w:rsidP="004506EB">
      <w:r>
        <w:t xml:space="preserve">Question traders about their current volumes and capacity to expand. Traders may be able to estimate volumes sold in particular regions, speed of deliveries, competition levels of upstream suppliers and downstream purchasers, and, if they are willing, the cost and profitability of their own trade. </w:t>
      </w:r>
      <w:r w:rsidRPr="008A2B20">
        <w:t>If traders reply that they can increase</w:t>
      </w:r>
      <w:r>
        <w:t xml:space="preserve"> supply, question them </w:t>
      </w:r>
      <w:r w:rsidRPr="008A2B20">
        <w:t xml:space="preserve">where they will store the supply and </w:t>
      </w:r>
      <w:r>
        <w:t>who will deliver</w:t>
      </w:r>
      <w:r w:rsidRPr="008A2B20">
        <w:t xml:space="preserve"> the c</w:t>
      </w:r>
      <w:r>
        <w:t>ommod</w:t>
      </w:r>
      <w:r w:rsidRPr="008A2B20">
        <w:t xml:space="preserve">ity. </w:t>
      </w:r>
      <w:r>
        <w:t>F</w:t>
      </w:r>
      <w:r w:rsidRPr="008A2B20">
        <w:t>or traders to increase supply, they need to either purchase from their upstream supplier more frequently or in increased volumes</w:t>
      </w:r>
      <w:r>
        <w:t>, both of which would require</w:t>
      </w:r>
      <w:r w:rsidRPr="008A2B20">
        <w:t xml:space="preserve"> increased usage of storage, trucks, and credit. </w:t>
      </w:r>
      <w:r>
        <w:t xml:space="preserve">It is important to verify that the </w:t>
      </w:r>
      <w:r w:rsidRPr="008A2B20">
        <w:t>t</w:t>
      </w:r>
      <w:r>
        <w:t>raders are not all intending to leverage the same</w:t>
      </w:r>
      <w:r w:rsidRPr="008A2B20">
        <w:t xml:space="preserve"> </w:t>
      </w:r>
      <w:r>
        <w:t>sources of excess capacity, such as limited</w:t>
      </w:r>
      <w:r w:rsidRPr="008A2B20">
        <w:t xml:space="preserve"> storage </w:t>
      </w:r>
      <w:r>
        <w:t xml:space="preserve">space or </w:t>
      </w:r>
      <w:r w:rsidRPr="008A2B20">
        <w:t xml:space="preserve">few </w:t>
      </w:r>
      <w:r>
        <w:t>trucks because i</w:t>
      </w:r>
      <w:r w:rsidRPr="008A2B20">
        <w:t>n the short run, it is quite difficult to increase the amount of storage or trucks.</w:t>
      </w:r>
      <w:r>
        <w:t xml:space="preserve"> </w:t>
      </w:r>
    </w:p>
    <w:p w14:paraId="017AD095" w14:textId="77777777" w:rsidR="002F320A" w:rsidRDefault="002F320A" w:rsidP="004506EB"/>
    <w:p w14:paraId="5BAD042F" w14:textId="26009ADC" w:rsidR="004506EB" w:rsidRDefault="002F320A" w:rsidP="004506EB">
      <w:r>
        <w:t>Some checks on eliciting marketing margins includes asking traders if their en</w:t>
      </w:r>
      <w:r w:rsidR="005E656B">
        <w:t>tire stock was purchased today,</w:t>
      </w:r>
      <w:r>
        <w:t xml:space="preserve"> how long it would take to resupply, and what sorts of constraints limit the amount of volume they currently trade.</w:t>
      </w:r>
      <w:r w:rsidR="005E656B">
        <w:t xml:space="preserve"> The first question helps to check that above responses on marketing margins are realistic. For example, if traders respond that they can increase their supply infinitely to meet any size increase in demand, but then reflect that it could take several weeks for them to restock supplies, it is unlikely that their response to questions of supply responsiveness are overstated. The second question on constraints to the volume traded allows analysts to probe traders for reasons that may inhibit their ability to increase supply, such as a lack of transportation or credit.</w:t>
      </w:r>
    </w:p>
    <w:p w14:paraId="17866A39" w14:textId="77777777" w:rsidR="004506EB" w:rsidRPr="005824F2" w:rsidRDefault="004506EB" w:rsidP="004506EB"/>
    <w:p w14:paraId="1AA5DCCF" w14:textId="77777777" w:rsidR="004506EB" w:rsidRDefault="004506EB" w:rsidP="004506EB">
      <w:r>
        <w:t>While traders can be important sources of information,</w:t>
      </w:r>
      <w:r w:rsidRPr="008A2B20">
        <w:t xml:space="preserve"> elicit</w:t>
      </w:r>
      <w:r>
        <w:t xml:space="preserve">ing supply </w:t>
      </w:r>
      <w:r w:rsidRPr="008A2B20">
        <w:t xml:space="preserve">responsiveness </w:t>
      </w:r>
      <w:r>
        <w:t xml:space="preserve">data </w:t>
      </w:r>
      <w:r w:rsidRPr="008A2B20">
        <w:t>from traders</w:t>
      </w:r>
      <w:r>
        <w:t xml:space="preserve"> can be difficult for several reasons</w:t>
      </w:r>
      <w:r w:rsidRPr="008A2B20">
        <w:t xml:space="preserve">. </w:t>
      </w:r>
      <w:r>
        <w:t>First, larger market actors generally have fewer competitors and may not be willing to spend time with market analysts.  Second, if</w:t>
      </w:r>
      <w:r w:rsidRPr="008A2B20">
        <w:t xml:space="preserve"> traders perceive that their answer could be use in support of a particular intervention, they may have incentives to overstate their ability to meet demand. </w:t>
      </w:r>
      <w:r>
        <w:t>Finally, it will be quite difficult to generate a statistically significant sample of major market actors and will be more effective to approach them as key informants.</w:t>
      </w:r>
    </w:p>
    <w:p w14:paraId="10E27B9E" w14:textId="77777777" w:rsidR="004506EB" w:rsidRDefault="004506EB" w:rsidP="001E42F9">
      <w:pPr>
        <w:rPr>
          <w:rFonts w:ascii="Cambria" w:eastAsia="Cambria" w:hAnsi="Cambria" w:cs="Times New Roman"/>
        </w:rPr>
      </w:pPr>
    </w:p>
    <w:p w14:paraId="58DC91F0" w14:textId="77777777" w:rsidR="001E42F9" w:rsidRDefault="001E42F9" w:rsidP="001E42F9">
      <w:pPr>
        <w:rPr>
          <w:rFonts w:ascii="Cambria" w:eastAsia="Cambria" w:hAnsi="Cambria" w:cs="Times New Roman"/>
        </w:rPr>
      </w:pPr>
    </w:p>
    <w:p w14:paraId="20D79089" w14:textId="3901837E" w:rsidR="001E42F9" w:rsidRDefault="001E42F9" w:rsidP="001E42F9">
      <w:pPr>
        <w:rPr>
          <w:rFonts w:ascii="Cambria" w:eastAsia="Cambria" w:hAnsi="Cambria" w:cs="Times New Roman"/>
        </w:rPr>
      </w:pPr>
      <w:r w:rsidRPr="006F41B6">
        <w:rPr>
          <w:rFonts w:ascii="Cambria" w:eastAsia="Cambria" w:hAnsi="Cambria" w:cs="Times New Roman"/>
        </w:rPr>
        <w:t>An example spreadsheet tracing out how marketing margins change as volume changes is below.</w:t>
      </w:r>
      <w:r w:rsidR="00EE2241">
        <w:rPr>
          <w:rFonts w:ascii="Cambria" w:eastAsia="Cambria" w:hAnsi="Cambria" w:cs="Times New Roman"/>
        </w:rPr>
        <w:t xml:space="preserve"> Traders were</w:t>
      </w:r>
      <w:r w:rsidR="002C418F">
        <w:rPr>
          <w:rFonts w:ascii="Cambria" w:eastAsia="Cambria" w:hAnsi="Cambria" w:cs="Times New Roman"/>
        </w:rPr>
        <w:t xml:space="preserve"> first</w:t>
      </w:r>
      <w:r w:rsidR="00EE2241">
        <w:rPr>
          <w:rFonts w:ascii="Cambria" w:eastAsia="Cambria" w:hAnsi="Cambria" w:cs="Times New Roman"/>
        </w:rPr>
        <w:t xml:space="preserve"> asked</w:t>
      </w:r>
      <w:r w:rsidR="002C418F">
        <w:rPr>
          <w:rFonts w:ascii="Cambria" w:eastAsia="Cambria" w:hAnsi="Cambria" w:cs="Times New Roman"/>
        </w:rPr>
        <w:t xml:space="preserve"> about their current costs</w:t>
      </w:r>
      <w:r w:rsidR="006C021E">
        <w:rPr>
          <w:rFonts w:ascii="Cambria" w:eastAsia="Cambria" w:hAnsi="Cambria" w:cs="Times New Roman"/>
        </w:rPr>
        <w:t xml:space="preserve"> (i.e., sales price)</w:t>
      </w:r>
      <w:r w:rsidR="002C418F">
        <w:rPr>
          <w:rFonts w:ascii="Cambria" w:eastAsia="Cambria" w:hAnsi="Cambria" w:cs="Times New Roman"/>
        </w:rPr>
        <w:t>, which are 2604. They then were asked</w:t>
      </w:r>
      <w:r w:rsidR="00EE2241">
        <w:rPr>
          <w:rFonts w:ascii="Cambria" w:eastAsia="Cambria" w:hAnsi="Cambria" w:cs="Times New Roman"/>
        </w:rPr>
        <w:t xml:space="preserve"> how much </w:t>
      </w:r>
      <w:r w:rsidR="002C418F">
        <w:rPr>
          <w:rFonts w:ascii="Cambria" w:eastAsia="Cambria" w:hAnsi="Cambria" w:cs="Times New Roman"/>
        </w:rPr>
        <w:t xml:space="preserve">more each could they provide at current costs (trader 1 could provide one metric ton, trader 2 could provide 20 metric tons) before costs would increase beyond 2604. The traders then were asked how much they could </w:t>
      </w:r>
      <w:r w:rsidR="001B520E">
        <w:rPr>
          <w:rFonts w:ascii="Cambria" w:eastAsia="Cambria" w:hAnsi="Cambria" w:cs="Times New Roman"/>
        </w:rPr>
        <w:t>supply if prices increased. The traders provided both the additional amount they</w:t>
      </w:r>
      <w:r w:rsidR="006C3E87">
        <w:rPr>
          <w:rFonts w:ascii="Cambria" w:eastAsia="Cambria" w:hAnsi="Cambria" w:cs="Times New Roman"/>
        </w:rPr>
        <w:t xml:space="preserve"> could supply and the new marginal</w:t>
      </w:r>
      <w:r w:rsidR="001B520E">
        <w:rPr>
          <w:rFonts w:ascii="Cambria" w:eastAsia="Cambria" w:hAnsi="Cambria" w:cs="Times New Roman"/>
        </w:rPr>
        <w:t xml:space="preserve"> costs.</w:t>
      </w:r>
      <w:r w:rsidR="006C3E87">
        <w:rPr>
          <w:rFonts w:ascii="Cambria" w:eastAsia="Cambria" w:hAnsi="Cambria" w:cs="Times New Roman"/>
        </w:rPr>
        <w:t xml:space="preserve"> Other approaches include (1) asking traders how much more they could supply if prices increased by ten percent or (2) asking traders how much it would cost to supply X metric tons.</w:t>
      </w:r>
    </w:p>
    <w:tbl>
      <w:tblPr>
        <w:tblW w:w="8949" w:type="dxa"/>
        <w:tblInd w:w="121" w:type="dxa"/>
        <w:tblLayout w:type="fixed"/>
        <w:tblCellMar>
          <w:left w:w="0" w:type="dxa"/>
          <w:right w:w="0" w:type="dxa"/>
        </w:tblCellMar>
        <w:tblLook w:val="0000" w:firstRow="0" w:lastRow="0" w:firstColumn="0" w:lastColumn="0" w:noHBand="0" w:noVBand="0"/>
      </w:tblPr>
      <w:tblGrid>
        <w:gridCol w:w="979"/>
        <w:gridCol w:w="1141"/>
        <w:gridCol w:w="988"/>
        <w:gridCol w:w="992"/>
        <w:gridCol w:w="720"/>
        <w:gridCol w:w="720"/>
        <w:gridCol w:w="884"/>
        <w:gridCol w:w="16"/>
        <w:gridCol w:w="900"/>
        <w:gridCol w:w="720"/>
        <w:gridCol w:w="889"/>
      </w:tblGrid>
      <w:tr w:rsidR="001E42F9" w:rsidRPr="00320A11" w14:paraId="1225A31A" w14:textId="77777777">
        <w:trPr>
          <w:trHeight w:val="584"/>
        </w:trPr>
        <w:tc>
          <w:tcPr>
            <w:tcW w:w="979" w:type="dxa"/>
            <w:tcBorders>
              <w:top w:val="single" w:sz="8" w:space="0" w:color="BECAFF"/>
              <w:left w:val="single" w:sz="8" w:space="0" w:color="BECAFF"/>
              <w:bottom w:val="single" w:sz="24" w:space="0" w:color="BECAFF"/>
              <w:right w:val="single" w:sz="8" w:space="0" w:color="BECAFF"/>
            </w:tcBorders>
            <w:shd w:val="clear" w:color="auto" w:fill="BBE0E3"/>
            <w:tcMar>
              <w:top w:w="20" w:type="dxa"/>
              <w:left w:w="20" w:type="dxa"/>
              <w:bottom w:w="0" w:type="dxa"/>
              <w:right w:w="20" w:type="dxa"/>
            </w:tcMar>
            <w:vAlign w:val="bottom"/>
          </w:tcPr>
          <w:p w14:paraId="08D0A446" w14:textId="77777777" w:rsidR="001E42F9" w:rsidRPr="00320A11" w:rsidRDefault="001E42F9" w:rsidP="00895606">
            <w:pPr>
              <w:rPr>
                <w:rFonts w:ascii="Cambria" w:eastAsia="Cambria" w:hAnsi="Cambria" w:cs="Times New Roman"/>
                <w:sz w:val="20"/>
              </w:rPr>
            </w:pPr>
            <w:r w:rsidRPr="00320A11">
              <w:rPr>
                <w:rFonts w:ascii="Cambria" w:eastAsia="Cambria" w:hAnsi="Cambria" w:cs="Times New Roman"/>
                <w:sz w:val="20"/>
              </w:rPr>
              <w:t> </w:t>
            </w:r>
          </w:p>
        </w:tc>
        <w:tc>
          <w:tcPr>
            <w:tcW w:w="1141" w:type="dxa"/>
            <w:tcBorders>
              <w:top w:val="single" w:sz="8" w:space="0" w:color="BECAFF"/>
              <w:left w:val="single" w:sz="8" w:space="0" w:color="BECAFF"/>
              <w:bottom w:val="single" w:sz="24" w:space="0" w:color="BECAFF"/>
              <w:right w:val="single" w:sz="8" w:space="0" w:color="BECAFF"/>
            </w:tcBorders>
            <w:shd w:val="clear" w:color="auto" w:fill="BBE0E3"/>
            <w:tcMar>
              <w:top w:w="20" w:type="dxa"/>
              <w:left w:w="20" w:type="dxa"/>
              <w:bottom w:w="0" w:type="dxa"/>
              <w:right w:w="20" w:type="dxa"/>
            </w:tcMar>
            <w:vAlign w:val="bottom"/>
          </w:tcPr>
          <w:p w14:paraId="473AD65D" w14:textId="77777777" w:rsidR="001E42F9" w:rsidRPr="00320A11" w:rsidRDefault="001E42F9" w:rsidP="00895606">
            <w:pPr>
              <w:rPr>
                <w:rFonts w:ascii="Cambria" w:eastAsia="Cambria" w:hAnsi="Cambria" w:cs="Times New Roman"/>
                <w:sz w:val="20"/>
              </w:rPr>
            </w:pPr>
            <w:r w:rsidRPr="00320A11">
              <w:rPr>
                <w:rFonts w:ascii="Cambria" w:eastAsia="Cambria" w:hAnsi="Cambria" w:cs="Times New Roman"/>
                <w:sz w:val="20"/>
              </w:rPr>
              <w:t>Additional Marginal Volume in metric tons</w:t>
            </w:r>
          </w:p>
        </w:tc>
        <w:tc>
          <w:tcPr>
            <w:tcW w:w="988" w:type="dxa"/>
            <w:tcBorders>
              <w:top w:val="single" w:sz="8" w:space="0" w:color="BECAFF"/>
              <w:left w:val="single" w:sz="8" w:space="0" w:color="BECAFF"/>
              <w:bottom w:val="single" w:sz="24" w:space="0" w:color="BECAFF"/>
              <w:right w:val="single" w:sz="8" w:space="0" w:color="BECAFF"/>
            </w:tcBorders>
            <w:shd w:val="clear" w:color="auto" w:fill="BBE0E3"/>
            <w:tcMar>
              <w:top w:w="20" w:type="dxa"/>
              <w:left w:w="20" w:type="dxa"/>
              <w:bottom w:w="0" w:type="dxa"/>
              <w:right w:w="20" w:type="dxa"/>
            </w:tcMar>
            <w:vAlign w:val="bottom"/>
          </w:tcPr>
          <w:p w14:paraId="373E8BD2" w14:textId="77777777" w:rsidR="001E42F9" w:rsidRPr="00320A11" w:rsidRDefault="001E42F9" w:rsidP="00895606">
            <w:pPr>
              <w:rPr>
                <w:rFonts w:ascii="Cambria" w:eastAsia="Cambria" w:hAnsi="Cambria" w:cs="Times New Roman"/>
                <w:sz w:val="20"/>
              </w:rPr>
            </w:pPr>
            <w:r w:rsidRPr="00320A11">
              <w:rPr>
                <w:rFonts w:ascii="Cambria" w:eastAsia="Cambria" w:hAnsi="Cambria" w:cs="Times New Roman"/>
                <w:sz w:val="20"/>
              </w:rPr>
              <w:t>Additional Procurement Cost</w:t>
            </w:r>
          </w:p>
        </w:tc>
        <w:tc>
          <w:tcPr>
            <w:tcW w:w="992" w:type="dxa"/>
            <w:tcBorders>
              <w:top w:val="single" w:sz="8" w:space="0" w:color="BECAFF"/>
              <w:left w:val="single" w:sz="8" w:space="0" w:color="BECAFF"/>
              <w:bottom w:val="single" w:sz="24" w:space="0" w:color="BECAFF"/>
              <w:right w:val="single" w:sz="8" w:space="0" w:color="BECAFF"/>
            </w:tcBorders>
            <w:shd w:val="clear" w:color="auto" w:fill="BBE0E3"/>
            <w:tcMar>
              <w:top w:w="20" w:type="dxa"/>
              <w:left w:w="20" w:type="dxa"/>
              <w:bottom w:w="0" w:type="dxa"/>
              <w:right w:w="20" w:type="dxa"/>
            </w:tcMar>
            <w:vAlign w:val="bottom"/>
          </w:tcPr>
          <w:p w14:paraId="7586CF8D" w14:textId="77777777" w:rsidR="001E42F9" w:rsidRPr="00320A11" w:rsidRDefault="001E42F9" w:rsidP="00895606">
            <w:pPr>
              <w:rPr>
                <w:rFonts w:ascii="Cambria" w:eastAsia="Cambria" w:hAnsi="Cambria" w:cs="Times New Roman"/>
                <w:sz w:val="20"/>
              </w:rPr>
            </w:pPr>
            <w:r>
              <w:rPr>
                <w:rFonts w:ascii="Cambria" w:eastAsia="Cambria" w:hAnsi="Cambria" w:cs="Times New Roman"/>
                <w:sz w:val="20"/>
              </w:rPr>
              <w:t>Additional Transport</w:t>
            </w:r>
            <w:r w:rsidRPr="00320A11">
              <w:rPr>
                <w:rFonts w:ascii="Cambria" w:eastAsia="Cambria" w:hAnsi="Cambria" w:cs="Times New Roman"/>
                <w:sz w:val="20"/>
              </w:rPr>
              <w:t xml:space="preserve"> Cost</w:t>
            </w:r>
          </w:p>
        </w:tc>
        <w:tc>
          <w:tcPr>
            <w:tcW w:w="720" w:type="dxa"/>
            <w:tcBorders>
              <w:top w:val="single" w:sz="8" w:space="0" w:color="BECAFF"/>
              <w:left w:val="single" w:sz="8" w:space="0" w:color="BECAFF"/>
              <w:bottom w:val="single" w:sz="24" w:space="0" w:color="BECAFF"/>
              <w:right w:val="single" w:sz="8" w:space="0" w:color="BECAFF"/>
            </w:tcBorders>
            <w:shd w:val="clear" w:color="auto" w:fill="BBE0E3"/>
            <w:tcMar>
              <w:top w:w="20" w:type="dxa"/>
              <w:left w:w="20" w:type="dxa"/>
              <w:bottom w:w="0" w:type="dxa"/>
              <w:right w:w="20" w:type="dxa"/>
            </w:tcMar>
            <w:vAlign w:val="bottom"/>
          </w:tcPr>
          <w:p w14:paraId="4FD55360" w14:textId="77777777" w:rsidR="001E42F9" w:rsidRPr="00320A11" w:rsidRDefault="001E42F9" w:rsidP="00895606">
            <w:pPr>
              <w:rPr>
                <w:rFonts w:ascii="Cambria" w:eastAsia="Cambria" w:hAnsi="Cambria" w:cs="Times New Roman"/>
                <w:sz w:val="20"/>
              </w:rPr>
            </w:pPr>
            <w:r w:rsidRPr="00320A11">
              <w:rPr>
                <w:rFonts w:ascii="Cambria" w:eastAsia="Cambria" w:hAnsi="Cambria" w:cs="Times New Roman"/>
                <w:sz w:val="20"/>
              </w:rPr>
              <w:t xml:space="preserve">Storage Costs </w:t>
            </w:r>
          </w:p>
        </w:tc>
        <w:tc>
          <w:tcPr>
            <w:tcW w:w="720" w:type="dxa"/>
            <w:tcBorders>
              <w:top w:val="single" w:sz="8" w:space="0" w:color="BECAFF"/>
              <w:left w:val="single" w:sz="8" w:space="0" w:color="BECAFF"/>
              <w:bottom w:val="single" w:sz="24" w:space="0" w:color="BECAFF"/>
              <w:right w:val="single" w:sz="8" w:space="0" w:color="BECAFF"/>
            </w:tcBorders>
            <w:shd w:val="clear" w:color="auto" w:fill="BBE0E3"/>
            <w:tcMar>
              <w:top w:w="20" w:type="dxa"/>
              <w:left w:w="20" w:type="dxa"/>
              <w:bottom w:w="0" w:type="dxa"/>
              <w:right w:w="20" w:type="dxa"/>
            </w:tcMar>
            <w:vAlign w:val="bottom"/>
          </w:tcPr>
          <w:p w14:paraId="45EC6D28" w14:textId="77777777" w:rsidR="001E42F9" w:rsidRPr="00320A11" w:rsidRDefault="001E42F9" w:rsidP="00895606">
            <w:pPr>
              <w:rPr>
                <w:rFonts w:ascii="Cambria" w:eastAsia="Cambria" w:hAnsi="Cambria" w:cs="Times New Roman"/>
                <w:sz w:val="20"/>
              </w:rPr>
            </w:pPr>
            <w:r w:rsidRPr="00320A11">
              <w:rPr>
                <w:rFonts w:ascii="Cambria" w:eastAsia="Cambria" w:hAnsi="Cambria" w:cs="Times New Roman"/>
                <w:sz w:val="20"/>
              </w:rPr>
              <w:t>Taxes or Fees</w:t>
            </w:r>
          </w:p>
        </w:tc>
        <w:tc>
          <w:tcPr>
            <w:tcW w:w="884" w:type="dxa"/>
            <w:tcBorders>
              <w:top w:val="single" w:sz="8" w:space="0" w:color="BECAFF"/>
              <w:left w:val="single" w:sz="8" w:space="0" w:color="BECAFF"/>
              <w:bottom w:val="single" w:sz="24" w:space="0" w:color="BECAFF"/>
              <w:right w:val="single" w:sz="8" w:space="0" w:color="BECAFF"/>
            </w:tcBorders>
            <w:shd w:val="clear" w:color="auto" w:fill="BBE0E3"/>
            <w:tcMar>
              <w:top w:w="20" w:type="dxa"/>
              <w:left w:w="20" w:type="dxa"/>
              <w:bottom w:w="0" w:type="dxa"/>
              <w:right w:w="20" w:type="dxa"/>
            </w:tcMar>
            <w:vAlign w:val="bottom"/>
          </w:tcPr>
          <w:p w14:paraId="1A2464DC" w14:textId="77777777" w:rsidR="001E42F9" w:rsidRPr="00320A11" w:rsidRDefault="001E42F9" w:rsidP="00895606">
            <w:pPr>
              <w:rPr>
                <w:rFonts w:ascii="Cambria" w:eastAsia="Cambria" w:hAnsi="Cambria" w:cs="Times New Roman"/>
                <w:sz w:val="20"/>
              </w:rPr>
            </w:pPr>
            <w:r w:rsidRPr="00320A11">
              <w:rPr>
                <w:rFonts w:ascii="Cambria" w:eastAsia="Cambria" w:hAnsi="Cambria" w:cs="Times New Roman"/>
                <w:sz w:val="20"/>
              </w:rPr>
              <w:t>Processing Costs</w:t>
            </w:r>
          </w:p>
        </w:tc>
        <w:tc>
          <w:tcPr>
            <w:tcW w:w="916" w:type="dxa"/>
            <w:gridSpan w:val="2"/>
            <w:tcBorders>
              <w:top w:val="single" w:sz="8" w:space="0" w:color="BECAFF"/>
              <w:left w:val="single" w:sz="8" w:space="0" w:color="BECAFF"/>
              <w:bottom w:val="single" w:sz="24" w:space="0" w:color="BECAFF"/>
              <w:right w:val="single" w:sz="8" w:space="0" w:color="BECAFF"/>
            </w:tcBorders>
            <w:shd w:val="clear" w:color="auto" w:fill="BBE0E3"/>
            <w:tcMar>
              <w:top w:w="20" w:type="dxa"/>
              <w:left w:w="20" w:type="dxa"/>
              <w:bottom w:w="0" w:type="dxa"/>
              <w:right w:w="20" w:type="dxa"/>
            </w:tcMar>
            <w:vAlign w:val="bottom"/>
          </w:tcPr>
          <w:p w14:paraId="013E10C9" w14:textId="77777777" w:rsidR="001E42F9" w:rsidRPr="00320A11" w:rsidRDefault="001E42F9" w:rsidP="00895606">
            <w:pPr>
              <w:rPr>
                <w:rFonts w:ascii="Cambria" w:eastAsia="Cambria" w:hAnsi="Cambria" w:cs="Times New Roman"/>
                <w:sz w:val="20"/>
              </w:rPr>
            </w:pPr>
            <w:r w:rsidRPr="00320A11">
              <w:rPr>
                <w:rFonts w:ascii="Cambria" w:eastAsia="Cambria" w:hAnsi="Cambria" w:cs="Times New Roman"/>
                <w:sz w:val="20"/>
              </w:rPr>
              <w:t>Interest or Short-term credit costs</w:t>
            </w:r>
          </w:p>
        </w:tc>
        <w:tc>
          <w:tcPr>
            <w:tcW w:w="720" w:type="dxa"/>
            <w:tcBorders>
              <w:top w:val="single" w:sz="8" w:space="0" w:color="BECAFF"/>
              <w:left w:val="single" w:sz="8" w:space="0" w:color="BECAFF"/>
              <w:bottom w:val="single" w:sz="24" w:space="0" w:color="BECAFF"/>
              <w:right w:val="single" w:sz="8" w:space="0" w:color="BECAFF"/>
            </w:tcBorders>
            <w:shd w:val="clear" w:color="auto" w:fill="BBE0E3"/>
            <w:tcMar>
              <w:top w:w="20" w:type="dxa"/>
              <w:left w:w="20" w:type="dxa"/>
              <w:bottom w:w="0" w:type="dxa"/>
              <w:right w:w="20" w:type="dxa"/>
            </w:tcMar>
            <w:vAlign w:val="bottom"/>
          </w:tcPr>
          <w:p w14:paraId="45169FB9" w14:textId="77777777" w:rsidR="001E42F9" w:rsidRPr="00320A11" w:rsidRDefault="001E42F9" w:rsidP="00895606">
            <w:pPr>
              <w:rPr>
                <w:rFonts w:ascii="Cambria" w:eastAsia="Cambria" w:hAnsi="Cambria" w:cs="Times New Roman"/>
                <w:sz w:val="20"/>
              </w:rPr>
            </w:pPr>
            <w:r w:rsidRPr="00320A11">
              <w:rPr>
                <w:rFonts w:ascii="Cambria" w:eastAsia="Cambria" w:hAnsi="Cambria" w:cs="Times New Roman"/>
                <w:sz w:val="20"/>
              </w:rPr>
              <w:t>Other Costs</w:t>
            </w:r>
          </w:p>
        </w:tc>
        <w:tc>
          <w:tcPr>
            <w:tcW w:w="889" w:type="dxa"/>
            <w:tcBorders>
              <w:top w:val="single" w:sz="8" w:space="0" w:color="BECAFF"/>
              <w:left w:val="single" w:sz="8" w:space="0" w:color="BECAFF"/>
              <w:bottom w:val="single" w:sz="24" w:space="0" w:color="BECAFF"/>
              <w:right w:val="single" w:sz="8" w:space="0" w:color="BECAFF"/>
            </w:tcBorders>
            <w:shd w:val="clear" w:color="auto" w:fill="BBE0E3"/>
            <w:tcMar>
              <w:top w:w="20" w:type="dxa"/>
              <w:left w:w="20" w:type="dxa"/>
              <w:bottom w:w="0" w:type="dxa"/>
              <w:right w:w="20" w:type="dxa"/>
            </w:tcMar>
            <w:vAlign w:val="bottom"/>
          </w:tcPr>
          <w:p w14:paraId="0FFA5899" w14:textId="77777777" w:rsidR="001E42F9" w:rsidRPr="00320A11" w:rsidRDefault="001E42F9" w:rsidP="00895606">
            <w:pPr>
              <w:rPr>
                <w:rFonts w:ascii="Cambria" w:eastAsia="Cambria" w:hAnsi="Cambria" w:cs="Times New Roman"/>
                <w:sz w:val="20"/>
              </w:rPr>
            </w:pPr>
            <w:r w:rsidRPr="00320A11">
              <w:rPr>
                <w:rFonts w:ascii="Cambria" w:eastAsia="Cambria" w:hAnsi="Cambria" w:cs="Times New Roman"/>
                <w:b/>
                <w:bCs/>
                <w:sz w:val="20"/>
              </w:rPr>
              <w:t>Total Marginal Cost</w:t>
            </w:r>
          </w:p>
        </w:tc>
      </w:tr>
      <w:tr w:rsidR="001E42F9" w:rsidRPr="00320A11" w14:paraId="5B91E23E" w14:textId="77777777">
        <w:trPr>
          <w:trHeight w:val="379"/>
        </w:trPr>
        <w:tc>
          <w:tcPr>
            <w:tcW w:w="2120" w:type="dxa"/>
            <w:gridSpan w:val="2"/>
            <w:tcBorders>
              <w:top w:val="single" w:sz="24" w:space="0" w:color="BECAFF"/>
              <w:left w:val="single" w:sz="8" w:space="0" w:color="BECAFF"/>
              <w:bottom w:val="single" w:sz="8" w:space="0" w:color="BECAFF"/>
              <w:right w:val="single" w:sz="8" w:space="0" w:color="BECAFF"/>
            </w:tcBorders>
            <w:shd w:val="clear" w:color="auto" w:fill="E7F3F4"/>
            <w:vAlign w:val="bottom"/>
          </w:tcPr>
          <w:p w14:paraId="48EED4CB"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b/>
                <w:bCs/>
                <w:sz w:val="22"/>
              </w:rPr>
              <w:t>Costs by trader</w:t>
            </w:r>
          </w:p>
        </w:tc>
        <w:tc>
          <w:tcPr>
            <w:tcW w:w="988" w:type="dxa"/>
            <w:tcBorders>
              <w:top w:val="single" w:sz="24"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0D663A01" w14:textId="77777777" w:rsidR="001E42F9" w:rsidRPr="00320A11" w:rsidRDefault="001E42F9" w:rsidP="00895606">
            <w:pPr>
              <w:rPr>
                <w:rFonts w:ascii="Cambria" w:eastAsia="Cambria" w:hAnsi="Cambria" w:cs="Times New Roman"/>
                <w:sz w:val="22"/>
              </w:rPr>
            </w:pPr>
          </w:p>
        </w:tc>
        <w:tc>
          <w:tcPr>
            <w:tcW w:w="992" w:type="dxa"/>
            <w:tcBorders>
              <w:top w:val="single" w:sz="24"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25CBEC11" w14:textId="77777777" w:rsidR="001E42F9" w:rsidRPr="00320A11" w:rsidRDefault="001E42F9" w:rsidP="00895606">
            <w:pPr>
              <w:rPr>
                <w:rFonts w:ascii="Cambria" w:eastAsia="Cambria" w:hAnsi="Cambria" w:cs="Times New Roman"/>
                <w:sz w:val="22"/>
              </w:rPr>
            </w:pPr>
          </w:p>
        </w:tc>
        <w:tc>
          <w:tcPr>
            <w:tcW w:w="720" w:type="dxa"/>
            <w:tcBorders>
              <w:top w:val="single" w:sz="24"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1B2C0864" w14:textId="77777777" w:rsidR="001E42F9" w:rsidRPr="00320A11" w:rsidRDefault="001E42F9" w:rsidP="00895606">
            <w:pPr>
              <w:rPr>
                <w:rFonts w:ascii="Cambria" w:eastAsia="Cambria" w:hAnsi="Cambria" w:cs="Times New Roman"/>
                <w:sz w:val="22"/>
              </w:rPr>
            </w:pPr>
          </w:p>
        </w:tc>
        <w:tc>
          <w:tcPr>
            <w:tcW w:w="720" w:type="dxa"/>
            <w:tcBorders>
              <w:top w:val="single" w:sz="24"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034AB15C" w14:textId="77777777" w:rsidR="001E42F9" w:rsidRPr="00320A11" w:rsidRDefault="001E42F9" w:rsidP="00895606">
            <w:pPr>
              <w:rPr>
                <w:rFonts w:ascii="Cambria" w:eastAsia="Cambria" w:hAnsi="Cambria" w:cs="Times New Roman"/>
                <w:sz w:val="22"/>
              </w:rPr>
            </w:pPr>
          </w:p>
        </w:tc>
        <w:tc>
          <w:tcPr>
            <w:tcW w:w="900" w:type="dxa"/>
            <w:gridSpan w:val="2"/>
            <w:tcBorders>
              <w:top w:val="single" w:sz="24"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6382BF68" w14:textId="77777777" w:rsidR="001E42F9" w:rsidRPr="00320A11" w:rsidRDefault="001E42F9" w:rsidP="00895606">
            <w:pPr>
              <w:rPr>
                <w:rFonts w:ascii="Cambria" w:eastAsia="Cambria" w:hAnsi="Cambria" w:cs="Times New Roman"/>
                <w:sz w:val="22"/>
              </w:rPr>
            </w:pPr>
          </w:p>
        </w:tc>
        <w:tc>
          <w:tcPr>
            <w:tcW w:w="900" w:type="dxa"/>
            <w:tcBorders>
              <w:top w:val="single" w:sz="24"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29F5E056" w14:textId="77777777" w:rsidR="001E42F9" w:rsidRPr="00320A11" w:rsidRDefault="001E42F9" w:rsidP="00895606">
            <w:pPr>
              <w:rPr>
                <w:rFonts w:ascii="Cambria" w:eastAsia="Cambria" w:hAnsi="Cambria" w:cs="Times New Roman"/>
                <w:sz w:val="22"/>
              </w:rPr>
            </w:pPr>
          </w:p>
        </w:tc>
        <w:tc>
          <w:tcPr>
            <w:tcW w:w="720" w:type="dxa"/>
            <w:tcBorders>
              <w:top w:val="single" w:sz="24"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58AC0EC5" w14:textId="77777777" w:rsidR="001E42F9" w:rsidRPr="00320A11" w:rsidRDefault="001E42F9" w:rsidP="00895606">
            <w:pPr>
              <w:rPr>
                <w:rFonts w:ascii="Cambria" w:eastAsia="Cambria" w:hAnsi="Cambria" w:cs="Times New Roman"/>
                <w:sz w:val="22"/>
              </w:rPr>
            </w:pPr>
          </w:p>
        </w:tc>
        <w:tc>
          <w:tcPr>
            <w:tcW w:w="889" w:type="dxa"/>
            <w:tcBorders>
              <w:top w:val="single" w:sz="24"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5BBF7900" w14:textId="77777777" w:rsidR="001E42F9" w:rsidRPr="00320A11" w:rsidRDefault="001E42F9" w:rsidP="00895606">
            <w:pPr>
              <w:rPr>
                <w:rFonts w:ascii="Cambria" w:eastAsia="Cambria" w:hAnsi="Cambria" w:cs="Times New Roman"/>
                <w:b/>
                <w:bCs/>
                <w:sz w:val="22"/>
              </w:rPr>
            </w:pPr>
          </w:p>
        </w:tc>
      </w:tr>
      <w:tr w:rsidR="001E42F9" w:rsidRPr="00320A11" w14:paraId="26C6AFD4" w14:textId="77777777">
        <w:trPr>
          <w:trHeight w:val="383"/>
        </w:trPr>
        <w:tc>
          <w:tcPr>
            <w:tcW w:w="979"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06A15E49" w14:textId="77777777" w:rsidR="001E42F9" w:rsidRPr="00320A11" w:rsidRDefault="001E42F9" w:rsidP="00895606">
            <w:pPr>
              <w:rPr>
                <w:rFonts w:ascii="Cambria" w:eastAsia="Cambria" w:hAnsi="Cambria" w:cs="Times New Roman"/>
              </w:rPr>
            </w:pPr>
            <w:r w:rsidRPr="00320A11">
              <w:rPr>
                <w:rFonts w:ascii="Cambria" w:eastAsia="Cambria" w:hAnsi="Cambria" w:cs="Times New Roman"/>
              </w:rPr>
              <w:t>Trader 1</w:t>
            </w:r>
          </w:p>
        </w:tc>
        <w:tc>
          <w:tcPr>
            <w:tcW w:w="1141"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77AAD05C"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1.00</w:t>
            </w:r>
          </w:p>
        </w:tc>
        <w:tc>
          <w:tcPr>
            <w:tcW w:w="988"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6F086250"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1900</w:t>
            </w:r>
          </w:p>
        </w:tc>
        <w:tc>
          <w:tcPr>
            <w:tcW w:w="992"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2FB091DF"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200</w:t>
            </w:r>
          </w:p>
        </w:tc>
        <w:tc>
          <w:tcPr>
            <w:tcW w:w="720"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23D8E6C3"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12</w:t>
            </w:r>
          </w:p>
        </w:tc>
        <w:tc>
          <w:tcPr>
            <w:tcW w:w="720"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53199D02"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202</w:t>
            </w:r>
          </w:p>
        </w:tc>
        <w:tc>
          <w:tcPr>
            <w:tcW w:w="900" w:type="dxa"/>
            <w:gridSpan w:val="2"/>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18A92B39"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100</w:t>
            </w:r>
          </w:p>
        </w:tc>
        <w:tc>
          <w:tcPr>
            <w:tcW w:w="900"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2CEBE6DA"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190</w:t>
            </w:r>
          </w:p>
        </w:tc>
        <w:tc>
          <w:tcPr>
            <w:tcW w:w="720"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7103F50F"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0</w:t>
            </w:r>
          </w:p>
        </w:tc>
        <w:tc>
          <w:tcPr>
            <w:tcW w:w="889"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3FDD45AC"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2604</w:t>
            </w:r>
          </w:p>
        </w:tc>
      </w:tr>
      <w:tr w:rsidR="001E42F9" w:rsidRPr="00320A11" w14:paraId="78F37CE4" w14:textId="77777777">
        <w:trPr>
          <w:trHeight w:val="482"/>
        </w:trPr>
        <w:tc>
          <w:tcPr>
            <w:tcW w:w="979"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2F541169" w14:textId="77777777" w:rsidR="001E42F9" w:rsidRPr="00320A11" w:rsidRDefault="001E42F9" w:rsidP="00895606">
            <w:pPr>
              <w:rPr>
                <w:rFonts w:ascii="Cambria" w:eastAsia="Cambria" w:hAnsi="Cambria" w:cs="Times New Roman"/>
              </w:rPr>
            </w:pPr>
          </w:p>
        </w:tc>
        <w:tc>
          <w:tcPr>
            <w:tcW w:w="1141"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472CC83A"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2.00</w:t>
            </w:r>
          </w:p>
        </w:tc>
        <w:tc>
          <w:tcPr>
            <w:tcW w:w="988"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1C0A462B"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1900</w:t>
            </w:r>
          </w:p>
        </w:tc>
        <w:tc>
          <w:tcPr>
            <w:tcW w:w="992"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5132A514"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450</w:t>
            </w:r>
          </w:p>
        </w:tc>
        <w:tc>
          <w:tcPr>
            <w:tcW w:w="720"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1EF3D8B8"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12</w:t>
            </w:r>
          </w:p>
        </w:tc>
        <w:tc>
          <w:tcPr>
            <w:tcW w:w="720"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0BCDC644"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202</w:t>
            </w:r>
          </w:p>
        </w:tc>
        <w:tc>
          <w:tcPr>
            <w:tcW w:w="900" w:type="dxa"/>
            <w:gridSpan w:val="2"/>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703BD3C0"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100</w:t>
            </w:r>
          </w:p>
        </w:tc>
        <w:tc>
          <w:tcPr>
            <w:tcW w:w="900"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42375DAB"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190</w:t>
            </w:r>
          </w:p>
        </w:tc>
        <w:tc>
          <w:tcPr>
            <w:tcW w:w="720"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611138C5"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0</w:t>
            </w:r>
          </w:p>
        </w:tc>
        <w:tc>
          <w:tcPr>
            <w:tcW w:w="889"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6CBBBAA0"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2854</w:t>
            </w:r>
          </w:p>
        </w:tc>
      </w:tr>
      <w:tr w:rsidR="001E42F9" w:rsidRPr="00320A11" w14:paraId="707F4D9D" w14:textId="77777777">
        <w:trPr>
          <w:trHeight w:val="410"/>
        </w:trPr>
        <w:tc>
          <w:tcPr>
            <w:tcW w:w="979"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300B1EE8" w14:textId="77777777" w:rsidR="001E42F9" w:rsidRPr="00320A11" w:rsidRDefault="001E42F9" w:rsidP="00895606">
            <w:pPr>
              <w:rPr>
                <w:rFonts w:ascii="Cambria" w:eastAsia="Cambria" w:hAnsi="Cambria" w:cs="Times New Roman"/>
              </w:rPr>
            </w:pPr>
          </w:p>
        </w:tc>
        <w:tc>
          <w:tcPr>
            <w:tcW w:w="1141"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35AD694C"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5.00</w:t>
            </w:r>
          </w:p>
        </w:tc>
        <w:tc>
          <w:tcPr>
            <w:tcW w:w="988"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58AD593B"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2500</w:t>
            </w:r>
          </w:p>
        </w:tc>
        <w:tc>
          <w:tcPr>
            <w:tcW w:w="992"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0D45175C"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750</w:t>
            </w:r>
          </w:p>
        </w:tc>
        <w:tc>
          <w:tcPr>
            <w:tcW w:w="720"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2E9DDF9E"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0</w:t>
            </w:r>
          </w:p>
        </w:tc>
        <w:tc>
          <w:tcPr>
            <w:tcW w:w="720"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799876E7"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250</w:t>
            </w:r>
          </w:p>
        </w:tc>
        <w:tc>
          <w:tcPr>
            <w:tcW w:w="900" w:type="dxa"/>
            <w:gridSpan w:val="2"/>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69167932"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100</w:t>
            </w:r>
          </w:p>
        </w:tc>
        <w:tc>
          <w:tcPr>
            <w:tcW w:w="900"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1E3467FB"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300</w:t>
            </w:r>
          </w:p>
        </w:tc>
        <w:tc>
          <w:tcPr>
            <w:tcW w:w="720"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5B85C27A"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0</w:t>
            </w:r>
          </w:p>
        </w:tc>
        <w:tc>
          <w:tcPr>
            <w:tcW w:w="889"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3582A84C"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3900</w:t>
            </w:r>
          </w:p>
        </w:tc>
      </w:tr>
      <w:tr w:rsidR="001E42F9" w:rsidRPr="00320A11" w14:paraId="568B1011" w14:textId="77777777">
        <w:trPr>
          <w:trHeight w:val="410"/>
        </w:trPr>
        <w:tc>
          <w:tcPr>
            <w:tcW w:w="979"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5ED1705A" w14:textId="77777777" w:rsidR="001E42F9" w:rsidRPr="00320A11" w:rsidRDefault="001E42F9" w:rsidP="00895606">
            <w:pPr>
              <w:rPr>
                <w:rFonts w:ascii="Cambria" w:eastAsia="Cambria" w:hAnsi="Cambria" w:cs="Times New Roman"/>
              </w:rPr>
            </w:pPr>
            <w:r w:rsidRPr="00320A11">
              <w:rPr>
                <w:rFonts w:ascii="Cambria" w:eastAsia="Cambria" w:hAnsi="Cambria" w:cs="Times New Roman"/>
              </w:rPr>
              <w:t>Trader 2</w:t>
            </w:r>
          </w:p>
        </w:tc>
        <w:tc>
          <w:tcPr>
            <w:tcW w:w="1141"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23D01153"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20.00</w:t>
            </w:r>
          </w:p>
        </w:tc>
        <w:tc>
          <w:tcPr>
            <w:tcW w:w="988"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003574D3"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1900</w:t>
            </w:r>
          </w:p>
        </w:tc>
        <w:tc>
          <w:tcPr>
            <w:tcW w:w="992"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1DCF63B3"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200</w:t>
            </w:r>
          </w:p>
        </w:tc>
        <w:tc>
          <w:tcPr>
            <w:tcW w:w="720"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3830817A"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12</w:t>
            </w:r>
          </w:p>
        </w:tc>
        <w:tc>
          <w:tcPr>
            <w:tcW w:w="720"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37E3F711"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202</w:t>
            </w:r>
          </w:p>
        </w:tc>
        <w:tc>
          <w:tcPr>
            <w:tcW w:w="900" w:type="dxa"/>
            <w:gridSpan w:val="2"/>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3F8A2789"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100</w:t>
            </w:r>
          </w:p>
        </w:tc>
        <w:tc>
          <w:tcPr>
            <w:tcW w:w="900"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321B7CE0"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190</w:t>
            </w:r>
          </w:p>
        </w:tc>
        <w:tc>
          <w:tcPr>
            <w:tcW w:w="720"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63926980"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0</w:t>
            </w:r>
          </w:p>
        </w:tc>
        <w:tc>
          <w:tcPr>
            <w:tcW w:w="889"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02E64253"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2604</w:t>
            </w:r>
          </w:p>
        </w:tc>
      </w:tr>
      <w:tr w:rsidR="001E42F9" w:rsidRPr="00320A11" w14:paraId="41704D84" w14:textId="77777777">
        <w:trPr>
          <w:trHeight w:val="410"/>
        </w:trPr>
        <w:tc>
          <w:tcPr>
            <w:tcW w:w="979"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2FF43292" w14:textId="77777777" w:rsidR="001E42F9" w:rsidRPr="00320A11" w:rsidRDefault="001E42F9" w:rsidP="00895606">
            <w:pPr>
              <w:rPr>
                <w:rFonts w:ascii="Cambria" w:eastAsia="Cambria" w:hAnsi="Cambria" w:cs="Times New Roman"/>
              </w:rPr>
            </w:pPr>
          </w:p>
        </w:tc>
        <w:tc>
          <w:tcPr>
            <w:tcW w:w="1141"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4644E614"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50.00</w:t>
            </w:r>
          </w:p>
        </w:tc>
        <w:tc>
          <w:tcPr>
            <w:tcW w:w="988"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5C3B5B57"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2500</w:t>
            </w:r>
          </w:p>
        </w:tc>
        <w:tc>
          <w:tcPr>
            <w:tcW w:w="992"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6C2BFCC8"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500</w:t>
            </w:r>
          </w:p>
        </w:tc>
        <w:tc>
          <w:tcPr>
            <w:tcW w:w="720"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6E8D7F3D"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0</w:t>
            </w:r>
          </w:p>
        </w:tc>
        <w:tc>
          <w:tcPr>
            <w:tcW w:w="720"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4557274B"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250</w:t>
            </w:r>
          </w:p>
        </w:tc>
        <w:tc>
          <w:tcPr>
            <w:tcW w:w="900" w:type="dxa"/>
            <w:gridSpan w:val="2"/>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3B8B43E2"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100</w:t>
            </w:r>
          </w:p>
        </w:tc>
        <w:tc>
          <w:tcPr>
            <w:tcW w:w="900"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68B8148F"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200</w:t>
            </w:r>
          </w:p>
        </w:tc>
        <w:tc>
          <w:tcPr>
            <w:tcW w:w="720"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78F99B85"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0</w:t>
            </w:r>
          </w:p>
        </w:tc>
        <w:tc>
          <w:tcPr>
            <w:tcW w:w="889"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1AD03AE6"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3550</w:t>
            </w:r>
          </w:p>
        </w:tc>
      </w:tr>
      <w:tr w:rsidR="001E42F9" w:rsidRPr="00320A11" w14:paraId="33639F4F" w14:textId="77777777">
        <w:trPr>
          <w:trHeight w:val="410"/>
        </w:trPr>
        <w:tc>
          <w:tcPr>
            <w:tcW w:w="979"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0C5A9121" w14:textId="77777777" w:rsidR="001E42F9" w:rsidRPr="00320A11" w:rsidRDefault="001E42F9" w:rsidP="00895606">
            <w:pPr>
              <w:rPr>
                <w:rFonts w:ascii="Cambria" w:eastAsia="Cambria" w:hAnsi="Cambria" w:cs="Times New Roman"/>
              </w:rPr>
            </w:pPr>
            <w:r w:rsidRPr="00320A11">
              <w:rPr>
                <w:rFonts w:ascii="Cambria" w:eastAsia="Cambria" w:hAnsi="Cambria" w:cs="Times New Roman"/>
              </w:rPr>
              <w:t>Trader 3</w:t>
            </w:r>
          </w:p>
        </w:tc>
        <w:tc>
          <w:tcPr>
            <w:tcW w:w="1141"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097E601B"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4.00</w:t>
            </w:r>
          </w:p>
        </w:tc>
        <w:tc>
          <w:tcPr>
            <w:tcW w:w="988"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5039995D"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1900</w:t>
            </w:r>
          </w:p>
        </w:tc>
        <w:tc>
          <w:tcPr>
            <w:tcW w:w="992"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4CBD6F68"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200</w:t>
            </w:r>
          </w:p>
        </w:tc>
        <w:tc>
          <w:tcPr>
            <w:tcW w:w="720"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1A67D4D5"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12</w:t>
            </w:r>
          </w:p>
        </w:tc>
        <w:tc>
          <w:tcPr>
            <w:tcW w:w="720"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1C5CA003"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202</w:t>
            </w:r>
          </w:p>
        </w:tc>
        <w:tc>
          <w:tcPr>
            <w:tcW w:w="900" w:type="dxa"/>
            <w:gridSpan w:val="2"/>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28734226"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100</w:t>
            </w:r>
          </w:p>
        </w:tc>
        <w:tc>
          <w:tcPr>
            <w:tcW w:w="900"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68BD61FA"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190</w:t>
            </w:r>
          </w:p>
        </w:tc>
        <w:tc>
          <w:tcPr>
            <w:tcW w:w="720"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44649A2C"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0</w:t>
            </w:r>
          </w:p>
        </w:tc>
        <w:tc>
          <w:tcPr>
            <w:tcW w:w="889"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627B6878"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2604</w:t>
            </w:r>
          </w:p>
        </w:tc>
      </w:tr>
      <w:tr w:rsidR="001E42F9" w:rsidRPr="00320A11" w14:paraId="5A8A1279" w14:textId="77777777">
        <w:trPr>
          <w:trHeight w:val="428"/>
        </w:trPr>
        <w:tc>
          <w:tcPr>
            <w:tcW w:w="979"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0FE359C4" w14:textId="77777777" w:rsidR="001E42F9" w:rsidRPr="00320A11" w:rsidRDefault="001E42F9" w:rsidP="00895606">
            <w:pPr>
              <w:rPr>
                <w:rFonts w:ascii="Cambria" w:eastAsia="Cambria" w:hAnsi="Cambria" w:cs="Times New Roman"/>
              </w:rPr>
            </w:pPr>
          </w:p>
        </w:tc>
        <w:tc>
          <w:tcPr>
            <w:tcW w:w="1141"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1FF7734C"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12.00</w:t>
            </w:r>
          </w:p>
        </w:tc>
        <w:tc>
          <w:tcPr>
            <w:tcW w:w="988"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730EDBD6"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2000</w:t>
            </w:r>
          </w:p>
        </w:tc>
        <w:tc>
          <w:tcPr>
            <w:tcW w:w="992"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1C14878C"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500</w:t>
            </w:r>
          </w:p>
        </w:tc>
        <w:tc>
          <w:tcPr>
            <w:tcW w:w="720"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5AA0C16D"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15</w:t>
            </w:r>
          </w:p>
        </w:tc>
        <w:tc>
          <w:tcPr>
            <w:tcW w:w="720"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64295BF2"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202</w:t>
            </w:r>
          </w:p>
        </w:tc>
        <w:tc>
          <w:tcPr>
            <w:tcW w:w="900" w:type="dxa"/>
            <w:gridSpan w:val="2"/>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21B93B97"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100</w:t>
            </w:r>
          </w:p>
        </w:tc>
        <w:tc>
          <w:tcPr>
            <w:tcW w:w="900"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5A2FE02D"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250</w:t>
            </w:r>
          </w:p>
        </w:tc>
        <w:tc>
          <w:tcPr>
            <w:tcW w:w="720"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79B813C2"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0</w:t>
            </w:r>
          </w:p>
        </w:tc>
        <w:tc>
          <w:tcPr>
            <w:tcW w:w="889"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25DAEB85" w14:textId="77777777" w:rsidR="001E42F9" w:rsidRPr="00320A11" w:rsidRDefault="001E42F9" w:rsidP="00895606">
            <w:pPr>
              <w:rPr>
                <w:rFonts w:ascii="Cambria" w:eastAsia="Cambria" w:hAnsi="Cambria" w:cs="Times New Roman"/>
                <w:sz w:val="22"/>
              </w:rPr>
            </w:pPr>
            <w:r w:rsidRPr="00320A11">
              <w:rPr>
                <w:rFonts w:ascii="Cambria" w:eastAsia="Cambria" w:hAnsi="Cambria" w:cs="Times New Roman"/>
                <w:sz w:val="22"/>
              </w:rPr>
              <w:t>3067</w:t>
            </w:r>
          </w:p>
        </w:tc>
      </w:tr>
    </w:tbl>
    <w:p w14:paraId="0623A976" w14:textId="77777777" w:rsidR="0081549A" w:rsidRDefault="0081549A" w:rsidP="001E42F9">
      <w:pPr>
        <w:rPr>
          <w:rFonts w:ascii="Cambria" w:eastAsia="Cambria" w:hAnsi="Cambria" w:cs="Times New Roman"/>
        </w:rPr>
      </w:pPr>
    </w:p>
    <w:p w14:paraId="347A0C62" w14:textId="77777777" w:rsidR="001E42F9" w:rsidRDefault="001E42F9" w:rsidP="001E42F9">
      <w:r>
        <w:t xml:space="preserve">If the marginal costs of increased food supplies are increasing, then the food price increases likely to be induced by cash transfers will depend in part on the demand stimulus created by transfers. </w:t>
      </w:r>
    </w:p>
    <w:p w14:paraId="4939DCC0" w14:textId="77777777" w:rsidR="001E42F9" w:rsidRDefault="001E42F9" w:rsidP="001E42F9"/>
    <w:p w14:paraId="4BD680B9" w14:textId="5F38718D" w:rsidR="001E42F9" w:rsidRDefault="000A541C" w:rsidP="001E42F9">
      <w:r>
        <w:t xml:space="preserve">Using the marginal costs by trader, we resorted the volumes to show </w:t>
      </w:r>
      <w:r w:rsidR="001E42F9">
        <w:t xml:space="preserve">how traders </w:t>
      </w:r>
      <w:r>
        <w:t>adding supply</w:t>
      </w:r>
      <w:r w:rsidR="001E42F9">
        <w:t xml:space="preserve"> face increasing marginal costs</w:t>
      </w:r>
      <w:r w:rsidR="007845AA">
        <w:t>:</w:t>
      </w:r>
    </w:p>
    <w:tbl>
      <w:tblPr>
        <w:tblW w:w="7670" w:type="dxa"/>
        <w:tblCellMar>
          <w:left w:w="0" w:type="dxa"/>
          <w:right w:w="0" w:type="dxa"/>
        </w:tblCellMar>
        <w:tblLook w:val="0000" w:firstRow="0" w:lastRow="0" w:firstColumn="0" w:lastColumn="0" w:noHBand="0" w:noVBand="0"/>
      </w:tblPr>
      <w:tblGrid>
        <w:gridCol w:w="1280"/>
        <w:gridCol w:w="1530"/>
        <w:gridCol w:w="2250"/>
        <w:gridCol w:w="2610"/>
      </w:tblGrid>
      <w:tr w:rsidR="001E42F9" w:rsidRPr="00C342CC" w14:paraId="57342E5D" w14:textId="77777777">
        <w:trPr>
          <w:trHeight w:val="584"/>
        </w:trPr>
        <w:tc>
          <w:tcPr>
            <w:tcW w:w="1280" w:type="dxa"/>
            <w:tcBorders>
              <w:top w:val="single" w:sz="8" w:space="0" w:color="BECAFF"/>
              <w:left w:val="single" w:sz="8" w:space="0" w:color="BECAFF"/>
              <w:bottom w:val="single" w:sz="24" w:space="0" w:color="BECAFF"/>
              <w:right w:val="single" w:sz="8" w:space="0" w:color="BECAFF"/>
            </w:tcBorders>
            <w:shd w:val="clear" w:color="auto" w:fill="BBE0E3"/>
            <w:tcMar>
              <w:top w:w="20" w:type="dxa"/>
              <w:left w:w="20" w:type="dxa"/>
              <w:bottom w:w="0" w:type="dxa"/>
              <w:right w:w="20" w:type="dxa"/>
            </w:tcMar>
            <w:vAlign w:val="bottom"/>
          </w:tcPr>
          <w:p w14:paraId="7F152447" w14:textId="77777777" w:rsidR="001E42F9" w:rsidRPr="00C342CC" w:rsidRDefault="001E42F9" w:rsidP="00895606">
            <w:pPr>
              <w:rPr>
                <w:sz w:val="22"/>
              </w:rPr>
            </w:pPr>
            <w:r w:rsidRPr="00C342CC">
              <w:rPr>
                <w:sz w:val="22"/>
              </w:rPr>
              <w:t> </w:t>
            </w:r>
          </w:p>
        </w:tc>
        <w:tc>
          <w:tcPr>
            <w:tcW w:w="1530" w:type="dxa"/>
            <w:tcBorders>
              <w:top w:val="single" w:sz="8" w:space="0" w:color="BECAFF"/>
              <w:left w:val="single" w:sz="8" w:space="0" w:color="BECAFF"/>
              <w:bottom w:val="single" w:sz="24" w:space="0" w:color="BECAFF"/>
              <w:right w:val="single" w:sz="8" w:space="0" w:color="BECAFF"/>
            </w:tcBorders>
            <w:shd w:val="clear" w:color="auto" w:fill="BBE0E3"/>
            <w:tcMar>
              <w:top w:w="20" w:type="dxa"/>
              <w:left w:w="20" w:type="dxa"/>
              <w:bottom w:w="0" w:type="dxa"/>
              <w:right w:w="20" w:type="dxa"/>
            </w:tcMar>
            <w:vAlign w:val="bottom"/>
          </w:tcPr>
          <w:p w14:paraId="691DA749" w14:textId="77777777" w:rsidR="001E42F9" w:rsidRPr="00C342CC" w:rsidRDefault="001E42F9" w:rsidP="00895606">
            <w:pPr>
              <w:rPr>
                <w:sz w:val="22"/>
              </w:rPr>
            </w:pPr>
            <w:r w:rsidRPr="00C342CC">
              <w:rPr>
                <w:sz w:val="22"/>
              </w:rPr>
              <w:t>Sorted volumes by Marginal costs</w:t>
            </w:r>
          </w:p>
        </w:tc>
        <w:tc>
          <w:tcPr>
            <w:tcW w:w="2250" w:type="dxa"/>
            <w:tcBorders>
              <w:top w:val="single" w:sz="8" w:space="0" w:color="BECAFF"/>
              <w:left w:val="single" w:sz="8" w:space="0" w:color="BECAFF"/>
              <w:bottom w:val="single" w:sz="24" w:space="0" w:color="BECAFF"/>
              <w:right w:val="single" w:sz="8" w:space="0" w:color="BECAFF"/>
            </w:tcBorders>
            <w:shd w:val="clear" w:color="auto" w:fill="BBE0E3"/>
            <w:tcMar>
              <w:top w:w="20" w:type="dxa"/>
              <w:left w:w="20" w:type="dxa"/>
              <w:bottom w:w="0" w:type="dxa"/>
              <w:right w:w="20" w:type="dxa"/>
            </w:tcMar>
            <w:vAlign w:val="bottom"/>
          </w:tcPr>
          <w:p w14:paraId="31A78026" w14:textId="77777777" w:rsidR="001E42F9" w:rsidRPr="00C342CC" w:rsidRDefault="001E42F9" w:rsidP="00895606">
            <w:pPr>
              <w:rPr>
                <w:sz w:val="22"/>
              </w:rPr>
            </w:pPr>
            <w:r w:rsidRPr="00C342CC">
              <w:rPr>
                <w:b/>
                <w:bCs/>
                <w:sz w:val="22"/>
              </w:rPr>
              <w:t>Total Marginal Cost</w:t>
            </w:r>
          </w:p>
        </w:tc>
        <w:tc>
          <w:tcPr>
            <w:tcW w:w="2610" w:type="dxa"/>
            <w:tcBorders>
              <w:top w:val="single" w:sz="8" w:space="0" w:color="BECAFF"/>
              <w:left w:val="single" w:sz="8" w:space="0" w:color="BECAFF"/>
              <w:bottom w:val="single" w:sz="24" w:space="0" w:color="BECAFF"/>
              <w:right w:val="single" w:sz="8" w:space="0" w:color="BECAFF"/>
            </w:tcBorders>
            <w:shd w:val="clear" w:color="auto" w:fill="BBE0E3"/>
            <w:tcMar>
              <w:top w:w="20" w:type="dxa"/>
              <w:left w:w="20" w:type="dxa"/>
              <w:bottom w:w="0" w:type="dxa"/>
              <w:right w:w="20" w:type="dxa"/>
            </w:tcMar>
            <w:vAlign w:val="bottom"/>
          </w:tcPr>
          <w:p w14:paraId="01EC097A" w14:textId="77777777" w:rsidR="001E42F9" w:rsidRPr="00C342CC" w:rsidRDefault="001E42F9" w:rsidP="00895606">
            <w:pPr>
              <w:rPr>
                <w:sz w:val="22"/>
              </w:rPr>
            </w:pPr>
            <w:r w:rsidRPr="00C342CC">
              <w:rPr>
                <w:b/>
                <w:bCs/>
                <w:sz w:val="22"/>
              </w:rPr>
              <w:t>Aggregate Added Supply</w:t>
            </w:r>
          </w:p>
        </w:tc>
      </w:tr>
      <w:tr w:rsidR="001E42F9" w:rsidRPr="00C342CC" w14:paraId="3139A521" w14:textId="77777777">
        <w:trPr>
          <w:trHeight w:val="363"/>
        </w:trPr>
        <w:tc>
          <w:tcPr>
            <w:tcW w:w="1280"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07E3839A" w14:textId="77777777" w:rsidR="001E42F9" w:rsidRPr="00C342CC" w:rsidRDefault="001E42F9" w:rsidP="00895606">
            <w:pPr>
              <w:rPr>
                <w:sz w:val="22"/>
              </w:rPr>
            </w:pPr>
            <w:r w:rsidRPr="00C342CC">
              <w:rPr>
                <w:sz w:val="22"/>
              </w:rPr>
              <w:t>Trader 1</w:t>
            </w:r>
          </w:p>
        </w:tc>
        <w:tc>
          <w:tcPr>
            <w:tcW w:w="1530"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3E3C5EF2" w14:textId="77777777" w:rsidR="001E42F9" w:rsidRPr="00C342CC" w:rsidRDefault="001E42F9" w:rsidP="00895606">
            <w:pPr>
              <w:rPr>
                <w:sz w:val="22"/>
              </w:rPr>
            </w:pPr>
            <w:r w:rsidRPr="00C342CC">
              <w:rPr>
                <w:sz w:val="22"/>
              </w:rPr>
              <w:t>1.00</w:t>
            </w:r>
          </w:p>
        </w:tc>
        <w:tc>
          <w:tcPr>
            <w:tcW w:w="2250"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2D134601" w14:textId="77777777" w:rsidR="001E42F9" w:rsidRPr="00C342CC" w:rsidRDefault="001E42F9" w:rsidP="00895606">
            <w:pPr>
              <w:rPr>
                <w:sz w:val="22"/>
              </w:rPr>
            </w:pPr>
            <w:r w:rsidRPr="00C342CC">
              <w:rPr>
                <w:sz w:val="22"/>
              </w:rPr>
              <w:t>2604</w:t>
            </w:r>
          </w:p>
        </w:tc>
        <w:tc>
          <w:tcPr>
            <w:tcW w:w="2610"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577150E7" w14:textId="77777777" w:rsidR="001E42F9" w:rsidRPr="00C342CC" w:rsidRDefault="001E42F9" w:rsidP="00895606">
            <w:pPr>
              <w:rPr>
                <w:sz w:val="22"/>
              </w:rPr>
            </w:pPr>
            <w:r w:rsidRPr="00C342CC">
              <w:rPr>
                <w:sz w:val="22"/>
              </w:rPr>
              <w:t>1.00</w:t>
            </w:r>
          </w:p>
        </w:tc>
      </w:tr>
      <w:tr w:rsidR="001E42F9" w:rsidRPr="00C342CC" w14:paraId="13C38EEF" w14:textId="77777777">
        <w:trPr>
          <w:trHeight w:val="365"/>
        </w:trPr>
        <w:tc>
          <w:tcPr>
            <w:tcW w:w="1280"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0B80BC75" w14:textId="77777777" w:rsidR="001E42F9" w:rsidRPr="00C342CC" w:rsidRDefault="001E42F9" w:rsidP="00895606">
            <w:pPr>
              <w:rPr>
                <w:sz w:val="22"/>
              </w:rPr>
            </w:pPr>
            <w:r w:rsidRPr="00C342CC">
              <w:rPr>
                <w:sz w:val="22"/>
              </w:rPr>
              <w:t>Trader 2</w:t>
            </w:r>
          </w:p>
        </w:tc>
        <w:tc>
          <w:tcPr>
            <w:tcW w:w="1530"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64CA8355" w14:textId="77777777" w:rsidR="001E42F9" w:rsidRPr="00C342CC" w:rsidRDefault="001E42F9" w:rsidP="00895606">
            <w:pPr>
              <w:rPr>
                <w:sz w:val="22"/>
              </w:rPr>
            </w:pPr>
            <w:r w:rsidRPr="00C342CC">
              <w:rPr>
                <w:sz w:val="22"/>
              </w:rPr>
              <w:t>20.00</w:t>
            </w:r>
          </w:p>
        </w:tc>
        <w:tc>
          <w:tcPr>
            <w:tcW w:w="2250"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481D41E0" w14:textId="77777777" w:rsidR="001E42F9" w:rsidRPr="00C342CC" w:rsidRDefault="001E42F9" w:rsidP="00895606">
            <w:pPr>
              <w:rPr>
                <w:sz w:val="22"/>
              </w:rPr>
            </w:pPr>
            <w:r w:rsidRPr="00C342CC">
              <w:rPr>
                <w:sz w:val="22"/>
              </w:rPr>
              <w:t>2604</w:t>
            </w:r>
          </w:p>
        </w:tc>
        <w:tc>
          <w:tcPr>
            <w:tcW w:w="2610"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2574FABB" w14:textId="77777777" w:rsidR="001E42F9" w:rsidRPr="00C342CC" w:rsidRDefault="001E42F9" w:rsidP="00895606">
            <w:pPr>
              <w:rPr>
                <w:sz w:val="22"/>
              </w:rPr>
            </w:pPr>
            <w:r w:rsidRPr="00C342CC">
              <w:rPr>
                <w:sz w:val="22"/>
              </w:rPr>
              <w:t>21.00</w:t>
            </w:r>
          </w:p>
        </w:tc>
      </w:tr>
      <w:tr w:rsidR="001E42F9" w:rsidRPr="00C342CC" w14:paraId="78E969F6" w14:textId="77777777">
        <w:trPr>
          <w:trHeight w:val="293"/>
        </w:trPr>
        <w:tc>
          <w:tcPr>
            <w:tcW w:w="1280"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504F26BD" w14:textId="77777777" w:rsidR="001E42F9" w:rsidRPr="00C342CC" w:rsidRDefault="001E42F9" w:rsidP="00895606">
            <w:pPr>
              <w:rPr>
                <w:sz w:val="22"/>
              </w:rPr>
            </w:pPr>
            <w:r w:rsidRPr="00C342CC">
              <w:rPr>
                <w:sz w:val="22"/>
              </w:rPr>
              <w:t>Trader 3</w:t>
            </w:r>
          </w:p>
        </w:tc>
        <w:tc>
          <w:tcPr>
            <w:tcW w:w="1530"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078DF82E" w14:textId="77777777" w:rsidR="001E42F9" w:rsidRPr="00C342CC" w:rsidRDefault="001E42F9" w:rsidP="00895606">
            <w:pPr>
              <w:rPr>
                <w:sz w:val="22"/>
              </w:rPr>
            </w:pPr>
            <w:r w:rsidRPr="00C342CC">
              <w:rPr>
                <w:sz w:val="22"/>
              </w:rPr>
              <w:t>4.00</w:t>
            </w:r>
          </w:p>
        </w:tc>
        <w:tc>
          <w:tcPr>
            <w:tcW w:w="2250"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6C76B62E" w14:textId="77777777" w:rsidR="001E42F9" w:rsidRPr="00C342CC" w:rsidRDefault="001E42F9" w:rsidP="00895606">
            <w:pPr>
              <w:rPr>
                <w:sz w:val="22"/>
              </w:rPr>
            </w:pPr>
            <w:r w:rsidRPr="00C342CC">
              <w:rPr>
                <w:sz w:val="22"/>
              </w:rPr>
              <w:t>2604</w:t>
            </w:r>
          </w:p>
        </w:tc>
        <w:tc>
          <w:tcPr>
            <w:tcW w:w="2610"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2137E8C4" w14:textId="77777777" w:rsidR="001E42F9" w:rsidRPr="00C342CC" w:rsidRDefault="001E42F9" w:rsidP="00895606">
            <w:pPr>
              <w:rPr>
                <w:sz w:val="22"/>
              </w:rPr>
            </w:pPr>
            <w:r w:rsidRPr="00C342CC">
              <w:rPr>
                <w:sz w:val="22"/>
              </w:rPr>
              <w:t>25.00</w:t>
            </w:r>
          </w:p>
        </w:tc>
      </w:tr>
      <w:tr w:rsidR="001E42F9" w:rsidRPr="00C342CC" w14:paraId="345C6127" w14:textId="77777777">
        <w:trPr>
          <w:trHeight w:val="383"/>
        </w:trPr>
        <w:tc>
          <w:tcPr>
            <w:tcW w:w="1280"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2D92FC80" w14:textId="77777777" w:rsidR="001E42F9" w:rsidRPr="00C342CC" w:rsidRDefault="001E42F9" w:rsidP="00895606">
            <w:pPr>
              <w:rPr>
                <w:sz w:val="22"/>
              </w:rPr>
            </w:pPr>
            <w:r w:rsidRPr="00C342CC">
              <w:rPr>
                <w:sz w:val="22"/>
              </w:rPr>
              <w:t>Trader 1</w:t>
            </w:r>
          </w:p>
        </w:tc>
        <w:tc>
          <w:tcPr>
            <w:tcW w:w="1530"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7AED9755" w14:textId="77777777" w:rsidR="001E42F9" w:rsidRPr="00C342CC" w:rsidRDefault="001E42F9" w:rsidP="00895606">
            <w:pPr>
              <w:rPr>
                <w:sz w:val="22"/>
              </w:rPr>
            </w:pPr>
            <w:r w:rsidRPr="00C342CC">
              <w:rPr>
                <w:sz w:val="22"/>
              </w:rPr>
              <w:t>2.00</w:t>
            </w:r>
          </w:p>
        </w:tc>
        <w:tc>
          <w:tcPr>
            <w:tcW w:w="2250"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07D39A1C" w14:textId="77777777" w:rsidR="001E42F9" w:rsidRPr="00C342CC" w:rsidRDefault="001E42F9" w:rsidP="00895606">
            <w:pPr>
              <w:rPr>
                <w:sz w:val="22"/>
              </w:rPr>
            </w:pPr>
            <w:r w:rsidRPr="00C342CC">
              <w:rPr>
                <w:sz w:val="22"/>
              </w:rPr>
              <w:t>2854</w:t>
            </w:r>
          </w:p>
        </w:tc>
        <w:tc>
          <w:tcPr>
            <w:tcW w:w="2610"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5BCBCBF5" w14:textId="77777777" w:rsidR="001E42F9" w:rsidRPr="00C342CC" w:rsidRDefault="001E42F9" w:rsidP="00895606">
            <w:pPr>
              <w:rPr>
                <w:sz w:val="22"/>
              </w:rPr>
            </w:pPr>
            <w:r w:rsidRPr="00C342CC">
              <w:rPr>
                <w:sz w:val="22"/>
              </w:rPr>
              <w:t>27.00</w:t>
            </w:r>
          </w:p>
        </w:tc>
      </w:tr>
      <w:tr w:rsidR="001E42F9" w:rsidRPr="00C342CC" w14:paraId="128ADF5D" w14:textId="77777777">
        <w:trPr>
          <w:trHeight w:val="383"/>
        </w:trPr>
        <w:tc>
          <w:tcPr>
            <w:tcW w:w="1280"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5707E544" w14:textId="77777777" w:rsidR="001E42F9" w:rsidRPr="00C342CC" w:rsidRDefault="001E42F9" w:rsidP="00895606">
            <w:pPr>
              <w:rPr>
                <w:sz w:val="22"/>
              </w:rPr>
            </w:pPr>
            <w:r w:rsidRPr="00C342CC">
              <w:rPr>
                <w:sz w:val="22"/>
              </w:rPr>
              <w:t>Trader 3</w:t>
            </w:r>
          </w:p>
        </w:tc>
        <w:tc>
          <w:tcPr>
            <w:tcW w:w="1530"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64F34235" w14:textId="77777777" w:rsidR="001E42F9" w:rsidRPr="00C342CC" w:rsidRDefault="001E42F9" w:rsidP="00895606">
            <w:pPr>
              <w:rPr>
                <w:sz w:val="22"/>
              </w:rPr>
            </w:pPr>
            <w:r w:rsidRPr="00C342CC">
              <w:rPr>
                <w:sz w:val="22"/>
              </w:rPr>
              <w:t>12.00</w:t>
            </w:r>
          </w:p>
        </w:tc>
        <w:tc>
          <w:tcPr>
            <w:tcW w:w="2250"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633FE9A8" w14:textId="77777777" w:rsidR="001E42F9" w:rsidRPr="00C342CC" w:rsidRDefault="001E42F9" w:rsidP="00895606">
            <w:pPr>
              <w:rPr>
                <w:sz w:val="22"/>
              </w:rPr>
            </w:pPr>
            <w:r w:rsidRPr="00C342CC">
              <w:rPr>
                <w:sz w:val="22"/>
              </w:rPr>
              <w:t>3067</w:t>
            </w:r>
          </w:p>
        </w:tc>
        <w:tc>
          <w:tcPr>
            <w:tcW w:w="2610"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25F3BC48" w14:textId="77777777" w:rsidR="001E42F9" w:rsidRPr="00C342CC" w:rsidRDefault="001E42F9" w:rsidP="00895606">
            <w:pPr>
              <w:rPr>
                <w:sz w:val="22"/>
              </w:rPr>
            </w:pPr>
            <w:r w:rsidRPr="00C342CC">
              <w:rPr>
                <w:sz w:val="22"/>
              </w:rPr>
              <w:t>39.00</w:t>
            </w:r>
          </w:p>
        </w:tc>
      </w:tr>
      <w:tr w:rsidR="001E42F9" w:rsidRPr="00C342CC" w14:paraId="1425CCBE" w14:textId="77777777">
        <w:trPr>
          <w:trHeight w:val="392"/>
        </w:trPr>
        <w:tc>
          <w:tcPr>
            <w:tcW w:w="1280"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74A7B804" w14:textId="77777777" w:rsidR="001E42F9" w:rsidRPr="00C342CC" w:rsidRDefault="001E42F9" w:rsidP="00895606">
            <w:pPr>
              <w:rPr>
                <w:sz w:val="22"/>
              </w:rPr>
            </w:pPr>
            <w:r w:rsidRPr="00C342CC">
              <w:rPr>
                <w:sz w:val="22"/>
              </w:rPr>
              <w:lastRenderedPageBreak/>
              <w:t>Trader 2</w:t>
            </w:r>
          </w:p>
        </w:tc>
        <w:tc>
          <w:tcPr>
            <w:tcW w:w="1530"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614B6B5C" w14:textId="77777777" w:rsidR="001E42F9" w:rsidRPr="00C342CC" w:rsidRDefault="001E42F9" w:rsidP="00895606">
            <w:pPr>
              <w:rPr>
                <w:sz w:val="22"/>
              </w:rPr>
            </w:pPr>
            <w:r w:rsidRPr="00C342CC">
              <w:rPr>
                <w:sz w:val="22"/>
              </w:rPr>
              <w:t>50.00</w:t>
            </w:r>
          </w:p>
        </w:tc>
        <w:tc>
          <w:tcPr>
            <w:tcW w:w="2250"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256296A5" w14:textId="77777777" w:rsidR="001E42F9" w:rsidRPr="00C342CC" w:rsidRDefault="001E42F9" w:rsidP="00895606">
            <w:pPr>
              <w:rPr>
                <w:sz w:val="22"/>
              </w:rPr>
            </w:pPr>
            <w:r w:rsidRPr="00C342CC">
              <w:rPr>
                <w:sz w:val="22"/>
              </w:rPr>
              <w:t>3550</w:t>
            </w:r>
          </w:p>
        </w:tc>
        <w:tc>
          <w:tcPr>
            <w:tcW w:w="2610"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5239F2D6" w14:textId="77777777" w:rsidR="001E42F9" w:rsidRPr="00C342CC" w:rsidRDefault="001E42F9" w:rsidP="00895606">
            <w:pPr>
              <w:rPr>
                <w:sz w:val="22"/>
              </w:rPr>
            </w:pPr>
            <w:r w:rsidRPr="00C342CC">
              <w:rPr>
                <w:sz w:val="22"/>
              </w:rPr>
              <w:t>89.00</w:t>
            </w:r>
          </w:p>
        </w:tc>
      </w:tr>
      <w:tr w:rsidR="001E42F9" w:rsidRPr="00C342CC" w14:paraId="6E5F44FC" w14:textId="77777777">
        <w:trPr>
          <w:trHeight w:val="302"/>
        </w:trPr>
        <w:tc>
          <w:tcPr>
            <w:tcW w:w="1280"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092C5611" w14:textId="77777777" w:rsidR="001E42F9" w:rsidRPr="00C342CC" w:rsidRDefault="001E42F9" w:rsidP="00895606">
            <w:pPr>
              <w:rPr>
                <w:sz w:val="22"/>
              </w:rPr>
            </w:pPr>
            <w:r w:rsidRPr="00C342CC">
              <w:rPr>
                <w:sz w:val="22"/>
              </w:rPr>
              <w:t>Trader 1</w:t>
            </w:r>
          </w:p>
        </w:tc>
        <w:tc>
          <w:tcPr>
            <w:tcW w:w="1530"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04EE70C5" w14:textId="77777777" w:rsidR="001E42F9" w:rsidRPr="00C342CC" w:rsidRDefault="001E42F9" w:rsidP="00895606">
            <w:pPr>
              <w:rPr>
                <w:sz w:val="22"/>
              </w:rPr>
            </w:pPr>
            <w:r w:rsidRPr="00C342CC">
              <w:rPr>
                <w:sz w:val="22"/>
              </w:rPr>
              <w:t>5.00</w:t>
            </w:r>
          </w:p>
        </w:tc>
        <w:tc>
          <w:tcPr>
            <w:tcW w:w="2250"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4A68D795" w14:textId="77777777" w:rsidR="001E42F9" w:rsidRPr="00C342CC" w:rsidRDefault="001E42F9" w:rsidP="00895606">
            <w:pPr>
              <w:rPr>
                <w:sz w:val="22"/>
              </w:rPr>
            </w:pPr>
            <w:r w:rsidRPr="00C342CC">
              <w:rPr>
                <w:sz w:val="22"/>
              </w:rPr>
              <w:t>3900</w:t>
            </w:r>
          </w:p>
        </w:tc>
        <w:tc>
          <w:tcPr>
            <w:tcW w:w="2610"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33235ACD" w14:textId="77777777" w:rsidR="001E42F9" w:rsidRPr="00C342CC" w:rsidRDefault="001E42F9" w:rsidP="00895606">
            <w:pPr>
              <w:rPr>
                <w:sz w:val="22"/>
              </w:rPr>
            </w:pPr>
            <w:r w:rsidRPr="00C342CC">
              <w:rPr>
                <w:sz w:val="22"/>
              </w:rPr>
              <w:t>94.00</w:t>
            </w:r>
          </w:p>
        </w:tc>
      </w:tr>
    </w:tbl>
    <w:p w14:paraId="3C39F8C7" w14:textId="77777777" w:rsidR="0081549A" w:rsidRDefault="0081549A" w:rsidP="001E42F9"/>
    <w:p w14:paraId="1709C2DC" w14:textId="1B0D1ADB" w:rsidR="001E42F9" w:rsidRDefault="001E42F9" w:rsidP="001E42F9">
      <w:pPr>
        <w:rPr>
          <w:rFonts w:ascii="Cambria" w:eastAsia="Cambria" w:hAnsi="Cambria" w:cs="Times New Roman"/>
        </w:rPr>
      </w:pPr>
      <w:r>
        <w:rPr>
          <w:rFonts w:ascii="Cambria" w:eastAsia="Cambria" w:hAnsi="Cambria" w:cs="Times New Roman"/>
        </w:rPr>
        <w:t>This direct elicitation approach will generate a realistic, stepwise aggregate supply function. Plotting the sorted values and their marginal costs will generate a stepwise supply function.</w:t>
      </w:r>
    </w:p>
    <w:p w14:paraId="6C854038" w14:textId="77777777" w:rsidR="001E42F9" w:rsidRDefault="001E42F9" w:rsidP="001E42F9">
      <w:pPr>
        <w:rPr>
          <w:rFonts w:ascii="Cambria" w:eastAsia="Cambria" w:hAnsi="Cambria" w:cs="Times New Roman"/>
        </w:rPr>
      </w:pPr>
    </w:p>
    <w:p w14:paraId="4EFD9D6D" w14:textId="22E0CEB7" w:rsidR="001E42F9" w:rsidRPr="00770429" w:rsidRDefault="006B5647" w:rsidP="001E42F9">
      <w:pPr>
        <w:rPr>
          <w:b/>
        </w:rPr>
      </w:pPr>
      <w:r>
        <w:rPr>
          <w:b/>
        </w:rPr>
        <w:t>Graphing marginal c</w:t>
      </w:r>
      <w:r w:rsidR="001E42F9" w:rsidRPr="00770429">
        <w:rPr>
          <w:b/>
        </w:rPr>
        <w:t>osts derived during a supply analysis</w:t>
      </w:r>
    </w:p>
    <w:p w14:paraId="728D4CD0" w14:textId="77777777" w:rsidR="001E42F9" w:rsidRPr="00D25DE6" w:rsidRDefault="001E42F9" w:rsidP="001E42F9">
      <w:r>
        <w:rPr>
          <w:noProof/>
        </w:rPr>
        <w:drawing>
          <wp:inline distT="0" distB="0" distL="0" distR="0" wp14:anchorId="66491F0B" wp14:editId="1E38D532">
            <wp:extent cx="5791200" cy="3919855"/>
            <wp:effectExtent l="25400" t="0" r="0" b="0"/>
            <wp:docPr id="16" name="Picture 4" descr="screenshot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shot_08"/>
                    <pic:cNvPicPr>
                      <a:picLocks noChangeAspect="1" noChangeArrowheads="1"/>
                    </pic:cNvPicPr>
                  </pic:nvPicPr>
                  <pic:blipFill>
                    <a:blip r:embed="rId9" cstate="print"/>
                    <a:srcRect/>
                    <a:stretch>
                      <a:fillRect/>
                    </a:stretch>
                  </pic:blipFill>
                  <pic:spPr bwMode="auto">
                    <a:xfrm>
                      <a:off x="0" y="0"/>
                      <a:ext cx="5791200" cy="3919855"/>
                    </a:xfrm>
                    <a:prstGeom prst="rect">
                      <a:avLst/>
                    </a:prstGeom>
                    <a:noFill/>
                    <a:ln w="9525">
                      <a:noFill/>
                      <a:miter lim="800000"/>
                      <a:headEnd/>
                      <a:tailEnd/>
                    </a:ln>
                  </pic:spPr>
                </pic:pic>
              </a:graphicData>
            </a:graphic>
          </wp:inline>
        </w:drawing>
      </w:r>
    </w:p>
    <w:p w14:paraId="31C8CF2F" w14:textId="7B9DAFDA" w:rsidR="0081549A" w:rsidRPr="00EF6A23" w:rsidRDefault="0081549A" w:rsidP="001E42F9">
      <w:pPr>
        <w:rPr>
          <w:i/>
        </w:rPr>
      </w:pPr>
      <w:r>
        <w:t>Source: Barrett (</w:t>
      </w:r>
      <w:r w:rsidR="00EF6A23">
        <w:t>2009</w:t>
      </w:r>
      <w:r>
        <w:t>)</w:t>
      </w:r>
    </w:p>
    <w:p w14:paraId="7FC10F38" w14:textId="77777777" w:rsidR="0081549A" w:rsidRDefault="0081549A" w:rsidP="001E42F9"/>
    <w:p w14:paraId="5CBF89D1" w14:textId="3A2F2CD6" w:rsidR="004506EB" w:rsidRPr="004506EB" w:rsidRDefault="003A0606" w:rsidP="001E42F9">
      <w:pPr>
        <w:rPr>
          <w:b/>
        </w:rPr>
      </w:pPr>
      <w:r>
        <w:rPr>
          <w:b/>
        </w:rPr>
        <w:t>Adding in demand analysis</w:t>
      </w:r>
    </w:p>
    <w:p w14:paraId="2C71CCAF" w14:textId="06472470" w:rsidR="001E42F9" w:rsidRDefault="001E42F9" w:rsidP="001E42F9">
      <w:r>
        <w:t>Bigger increases in demand will stimulate greater price increases, which will tend to hurt food insecure households, especially those not receiving transfers. Thus some basic demand analysis is required</w:t>
      </w:r>
      <w:r w:rsidR="00FD1866">
        <w:t xml:space="preserve"> to determine the expected change in demand</w:t>
      </w:r>
      <w:r>
        <w:t>. How much local demand responds depends on the</w:t>
      </w:r>
      <w:r w:rsidR="007C5D00">
        <w:t xml:space="preserve"> size of the transfer,</w:t>
      </w:r>
      <w:r w:rsidR="00FD1866">
        <w:t xml:space="preserve"> on prices, on</w:t>
      </w:r>
      <w:r w:rsidR="007C5D00">
        <w:t xml:space="preserve"> the</w:t>
      </w:r>
      <w:r>
        <w:t xml:space="preserve"> relevant income elasticity of demand and on the resulting size of the shift in the demand curve.</w:t>
      </w:r>
    </w:p>
    <w:p w14:paraId="24C61A6F" w14:textId="77777777" w:rsidR="001E42F9" w:rsidRDefault="001E42F9" w:rsidP="001E42F9"/>
    <w:p w14:paraId="5EF0EB64" w14:textId="77777777" w:rsidR="001E42F9" w:rsidRDefault="001E42F9" w:rsidP="001E42F9">
      <w:r>
        <w:t>Below is an example of demand changes computed by estimating increased volume demanded for food due to cash distributions:</w:t>
      </w:r>
    </w:p>
    <w:tbl>
      <w:tblPr>
        <w:tblW w:w="7963" w:type="dxa"/>
        <w:tblLayout w:type="fixed"/>
        <w:tblCellMar>
          <w:left w:w="0" w:type="dxa"/>
          <w:right w:w="0" w:type="dxa"/>
        </w:tblCellMar>
        <w:tblLook w:val="0000" w:firstRow="0" w:lastRow="0" w:firstColumn="0" w:lastColumn="0" w:noHBand="0" w:noVBand="0"/>
      </w:tblPr>
      <w:tblGrid>
        <w:gridCol w:w="1010"/>
        <w:gridCol w:w="900"/>
        <w:gridCol w:w="1016"/>
        <w:gridCol w:w="1030"/>
        <w:gridCol w:w="940"/>
        <w:gridCol w:w="1047"/>
        <w:gridCol w:w="900"/>
        <w:gridCol w:w="1120"/>
      </w:tblGrid>
      <w:tr w:rsidR="001E42F9" w:rsidRPr="006B593A" w14:paraId="1DB501BF" w14:textId="77777777">
        <w:trPr>
          <w:trHeight w:val="2039"/>
        </w:trPr>
        <w:tc>
          <w:tcPr>
            <w:tcW w:w="1010" w:type="dxa"/>
            <w:tcBorders>
              <w:top w:val="single" w:sz="8" w:space="0" w:color="BECAFF"/>
              <w:left w:val="single" w:sz="8" w:space="0" w:color="BECAFF"/>
              <w:bottom w:val="single" w:sz="24" w:space="0" w:color="BECAFF"/>
              <w:right w:val="single" w:sz="8" w:space="0" w:color="BECAFF"/>
            </w:tcBorders>
            <w:shd w:val="clear" w:color="auto" w:fill="BBE0E3"/>
            <w:tcMar>
              <w:top w:w="20" w:type="dxa"/>
              <w:left w:w="20" w:type="dxa"/>
              <w:bottom w:w="0" w:type="dxa"/>
              <w:right w:w="20" w:type="dxa"/>
            </w:tcMar>
            <w:vAlign w:val="bottom"/>
          </w:tcPr>
          <w:p w14:paraId="5B8337B7" w14:textId="5D81493F" w:rsidR="001E42F9" w:rsidRPr="006B593A" w:rsidRDefault="008D5757" w:rsidP="00895606">
            <w:pPr>
              <w:textAlignment w:val="bottom"/>
              <w:rPr>
                <w:rFonts w:ascii="Cambria" w:hAnsi="Cambria" w:cs="Times New Roman"/>
                <w:sz w:val="20"/>
                <w:szCs w:val="36"/>
              </w:rPr>
            </w:pPr>
            <w:r>
              <w:rPr>
                <w:rFonts w:ascii="Cambria" w:eastAsia="ヒラギノ明朝 ProN W3" w:hAnsi="Cambria" w:cs="ヒラギノ明朝 ProN W3"/>
                <w:color w:val="000000"/>
                <w:kern w:val="24"/>
                <w:sz w:val="20"/>
                <w:szCs w:val="28"/>
              </w:rPr>
              <w:lastRenderedPageBreak/>
              <w:t>Market</w:t>
            </w:r>
          </w:p>
        </w:tc>
        <w:tc>
          <w:tcPr>
            <w:tcW w:w="900" w:type="dxa"/>
            <w:tcBorders>
              <w:top w:val="single" w:sz="8" w:space="0" w:color="BECAFF"/>
              <w:left w:val="single" w:sz="8" w:space="0" w:color="BECAFF"/>
              <w:bottom w:val="single" w:sz="24" w:space="0" w:color="BECAFF"/>
              <w:right w:val="single" w:sz="8" w:space="0" w:color="BECAFF"/>
            </w:tcBorders>
            <w:shd w:val="clear" w:color="auto" w:fill="BBE0E3"/>
            <w:tcMar>
              <w:top w:w="20" w:type="dxa"/>
              <w:left w:w="20" w:type="dxa"/>
              <w:bottom w:w="0" w:type="dxa"/>
              <w:right w:w="20" w:type="dxa"/>
            </w:tcMar>
            <w:vAlign w:val="bottom"/>
          </w:tcPr>
          <w:p w14:paraId="53FD3FE5" w14:textId="77777777" w:rsidR="001E42F9" w:rsidRPr="006B593A" w:rsidRDefault="001E42F9" w:rsidP="00895606">
            <w:pPr>
              <w:textAlignment w:val="bottom"/>
              <w:rPr>
                <w:rFonts w:ascii="Cambria" w:hAnsi="Cambria" w:cs="Times New Roman"/>
                <w:sz w:val="20"/>
                <w:szCs w:val="36"/>
              </w:rPr>
            </w:pPr>
            <w:r w:rsidRPr="006B593A">
              <w:rPr>
                <w:rFonts w:ascii="Cambria" w:eastAsia="ヒラギノ明朝 ProN W3" w:hAnsi="Cambria" w:cs="ヒラギノ明朝 ProN W3"/>
                <w:color w:val="000000"/>
                <w:kern w:val="24"/>
                <w:sz w:val="20"/>
                <w:szCs w:val="28"/>
              </w:rPr>
              <w:t>Expected Cash Dispersal</w:t>
            </w:r>
          </w:p>
        </w:tc>
        <w:tc>
          <w:tcPr>
            <w:tcW w:w="1016" w:type="dxa"/>
            <w:tcBorders>
              <w:top w:val="single" w:sz="8" w:space="0" w:color="BECAFF"/>
              <w:left w:val="single" w:sz="8" w:space="0" w:color="BECAFF"/>
              <w:bottom w:val="single" w:sz="24" w:space="0" w:color="BECAFF"/>
              <w:right w:val="single" w:sz="8" w:space="0" w:color="BECAFF"/>
            </w:tcBorders>
            <w:shd w:val="clear" w:color="auto" w:fill="BBE0E3"/>
            <w:tcMar>
              <w:top w:w="20" w:type="dxa"/>
              <w:left w:w="20" w:type="dxa"/>
              <w:bottom w:w="0" w:type="dxa"/>
              <w:right w:w="20" w:type="dxa"/>
            </w:tcMar>
            <w:vAlign w:val="bottom"/>
          </w:tcPr>
          <w:p w14:paraId="35891AEB" w14:textId="77777777" w:rsidR="001E42F9" w:rsidRPr="006B593A" w:rsidRDefault="001E42F9" w:rsidP="00895606">
            <w:pPr>
              <w:textAlignment w:val="bottom"/>
              <w:rPr>
                <w:rFonts w:ascii="Cambria" w:hAnsi="Cambria" w:cs="Times New Roman"/>
                <w:sz w:val="20"/>
                <w:szCs w:val="36"/>
              </w:rPr>
            </w:pPr>
            <w:r w:rsidRPr="006B593A">
              <w:rPr>
                <w:rFonts w:ascii="Cambria" w:eastAsia="ヒラギノ明朝 ProN W3" w:hAnsi="Cambria" w:cs="ヒラギノ明朝 ProN W3"/>
                <w:color w:val="000000"/>
                <w:kern w:val="24"/>
                <w:sz w:val="20"/>
                <w:szCs w:val="28"/>
              </w:rPr>
              <w:t>Cost of staple per metric ton</w:t>
            </w:r>
          </w:p>
        </w:tc>
        <w:tc>
          <w:tcPr>
            <w:tcW w:w="1030" w:type="dxa"/>
            <w:tcBorders>
              <w:top w:val="single" w:sz="8" w:space="0" w:color="BECAFF"/>
              <w:left w:val="single" w:sz="8" w:space="0" w:color="BECAFF"/>
              <w:bottom w:val="single" w:sz="24" w:space="0" w:color="BECAFF"/>
              <w:right w:val="single" w:sz="8" w:space="0" w:color="BECAFF"/>
            </w:tcBorders>
            <w:shd w:val="clear" w:color="auto" w:fill="BBE0E3"/>
            <w:tcMar>
              <w:top w:w="20" w:type="dxa"/>
              <w:left w:w="20" w:type="dxa"/>
              <w:bottom w:w="0" w:type="dxa"/>
              <w:right w:w="20" w:type="dxa"/>
            </w:tcMar>
            <w:vAlign w:val="bottom"/>
          </w:tcPr>
          <w:p w14:paraId="67DA8455" w14:textId="77777777" w:rsidR="001E42F9" w:rsidRPr="006B593A" w:rsidRDefault="001E42F9" w:rsidP="00895606">
            <w:pPr>
              <w:textAlignment w:val="bottom"/>
              <w:rPr>
                <w:rFonts w:ascii="Cambria" w:hAnsi="Cambria" w:cs="Times New Roman"/>
                <w:sz w:val="20"/>
                <w:szCs w:val="36"/>
              </w:rPr>
            </w:pPr>
            <w:r w:rsidRPr="006B593A">
              <w:rPr>
                <w:rFonts w:ascii="Cambria" w:eastAsia="ヒラギノ明朝 ProN W3" w:hAnsi="Cambria" w:cs="ヒラギノ明朝 ProN W3"/>
                <w:color w:val="000000"/>
                <w:kern w:val="24"/>
                <w:sz w:val="20"/>
                <w:szCs w:val="28"/>
              </w:rPr>
              <w:t>Amount of food that could be purchased with cash</w:t>
            </w:r>
          </w:p>
        </w:tc>
        <w:tc>
          <w:tcPr>
            <w:tcW w:w="940" w:type="dxa"/>
            <w:tcBorders>
              <w:top w:val="single" w:sz="8" w:space="0" w:color="BECAFF"/>
              <w:left w:val="single" w:sz="8" w:space="0" w:color="BECAFF"/>
              <w:bottom w:val="single" w:sz="24" w:space="0" w:color="BECAFF"/>
              <w:right w:val="single" w:sz="8" w:space="0" w:color="BECAFF"/>
            </w:tcBorders>
            <w:shd w:val="clear" w:color="auto" w:fill="BBE0E3"/>
            <w:tcMar>
              <w:top w:w="20" w:type="dxa"/>
              <w:left w:w="20" w:type="dxa"/>
              <w:bottom w:w="0" w:type="dxa"/>
              <w:right w:w="20" w:type="dxa"/>
            </w:tcMar>
            <w:vAlign w:val="bottom"/>
          </w:tcPr>
          <w:p w14:paraId="45139E59" w14:textId="6F13B1FC" w:rsidR="001E42F9" w:rsidRPr="006B593A" w:rsidRDefault="00A04069" w:rsidP="00895606">
            <w:pPr>
              <w:textAlignment w:val="bottom"/>
              <w:rPr>
                <w:rFonts w:ascii="Cambria" w:hAnsi="Cambria" w:cs="Times New Roman"/>
                <w:sz w:val="20"/>
                <w:szCs w:val="36"/>
              </w:rPr>
            </w:pPr>
            <w:r>
              <w:rPr>
                <w:rFonts w:ascii="Cambria" w:eastAsia="ヒラギノ明朝 ProN W3" w:hAnsi="Cambria" w:cs="ヒラギノ明朝 ProN W3"/>
                <w:color w:val="000000"/>
                <w:kern w:val="24"/>
                <w:sz w:val="20"/>
                <w:szCs w:val="28"/>
              </w:rPr>
              <w:t>Income elasticity of d</w:t>
            </w:r>
            <w:r w:rsidR="001E42F9" w:rsidRPr="006B593A">
              <w:rPr>
                <w:rFonts w:ascii="Cambria" w:eastAsia="ヒラギノ明朝 ProN W3" w:hAnsi="Cambria" w:cs="ヒラギノ明朝 ProN W3"/>
                <w:color w:val="000000"/>
                <w:kern w:val="24"/>
                <w:sz w:val="20"/>
                <w:szCs w:val="28"/>
              </w:rPr>
              <w:t>emand: More elastic (closer to 1)</w:t>
            </w:r>
          </w:p>
        </w:tc>
        <w:tc>
          <w:tcPr>
            <w:tcW w:w="1047" w:type="dxa"/>
            <w:tcBorders>
              <w:top w:val="single" w:sz="8" w:space="0" w:color="BECAFF"/>
              <w:left w:val="single" w:sz="8" w:space="0" w:color="BECAFF"/>
              <w:bottom w:val="single" w:sz="24" w:space="0" w:color="BECAFF"/>
              <w:right w:val="single" w:sz="8" w:space="0" w:color="BECAFF"/>
            </w:tcBorders>
            <w:shd w:val="clear" w:color="auto" w:fill="BBE0E3"/>
            <w:tcMar>
              <w:top w:w="20" w:type="dxa"/>
              <w:left w:w="20" w:type="dxa"/>
              <w:bottom w:w="0" w:type="dxa"/>
              <w:right w:w="20" w:type="dxa"/>
            </w:tcMar>
            <w:vAlign w:val="bottom"/>
          </w:tcPr>
          <w:p w14:paraId="1CAEA4A2" w14:textId="071C94A7" w:rsidR="001E42F9" w:rsidRPr="006B593A" w:rsidRDefault="004728EB" w:rsidP="00895606">
            <w:pPr>
              <w:textAlignment w:val="bottom"/>
              <w:rPr>
                <w:rFonts w:ascii="Cambria" w:hAnsi="Cambria" w:cs="Times New Roman"/>
                <w:sz w:val="20"/>
                <w:szCs w:val="36"/>
              </w:rPr>
            </w:pPr>
            <w:r>
              <w:rPr>
                <w:rFonts w:ascii="Cambria" w:eastAsia="ヒラギノ明朝 ProN W3" w:hAnsi="Cambria" w:cs="ヒラギノ明朝 ProN W3"/>
                <w:color w:val="000000"/>
                <w:kern w:val="24"/>
                <w:sz w:val="20"/>
                <w:szCs w:val="28"/>
              </w:rPr>
              <w:t xml:space="preserve">Income elasticity of </w:t>
            </w:r>
            <w:r w:rsidR="00A04069">
              <w:rPr>
                <w:rFonts w:ascii="Cambria" w:eastAsia="ヒラギノ明朝 ProN W3" w:hAnsi="Cambria" w:cs="ヒラギノ明朝 ProN W3"/>
                <w:color w:val="000000"/>
                <w:kern w:val="24"/>
                <w:sz w:val="20"/>
                <w:szCs w:val="28"/>
              </w:rPr>
              <w:t>d</w:t>
            </w:r>
            <w:r w:rsidR="001E42F9" w:rsidRPr="006B593A">
              <w:rPr>
                <w:rFonts w:ascii="Cambria" w:eastAsia="ヒラギノ明朝 ProN W3" w:hAnsi="Cambria" w:cs="ヒラギノ明朝 ProN W3"/>
                <w:color w:val="000000"/>
                <w:kern w:val="24"/>
                <w:sz w:val="20"/>
                <w:szCs w:val="28"/>
              </w:rPr>
              <w:t>emand: Less elastic (further from 1)</w:t>
            </w:r>
          </w:p>
        </w:tc>
        <w:tc>
          <w:tcPr>
            <w:tcW w:w="900" w:type="dxa"/>
            <w:tcBorders>
              <w:top w:val="single" w:sz="8" w:space="0" w:color="BECAFF"/>
              <w:left w:val="single" w:sz="8" w:space="0" w:color="BECAFF"/>
              <w:bottom w:val="single" w:sz="24" w:space="0" w:color="BECAFF"/>
              <w:right w:val="single" w:sz="8" w:space="0" w:color="BECAFF"/>
            </w:tcBorders>
            <w:shd w:val="clear" w:color="auto" w:fill="BBE0E3"/>
            <w:tcMar>
              <w:top w:w="20" w:type="dxa"/>
              <w:left w:w="20" w:type="dxa"/>
              <w:bottom w:w="0" w:type="dxa"/>
              <w:right w:w="20" w:type="dxa"/>
            </w:tcMar>
            <w:vAlign w:val="bottom"/>
          </w:tcPr>
          <w:p w14:paraId="72EEAEB2" w14:textId="77777777" w:rsidR="001E42F9" w:rsidRPr="006B593A" w:rsidRDefault="001E42F9" w:rsidP="00895606">
            <w:pPr>
              <w:textAlignment w:val="bottom"/>
              <w:rPr>
                <w:rFonts w:ascii="Cambria" w:hAnsi="Cambria" w:cs="Times New Roman"/>
                <w:sz w:val="20"/>
                <w:szCs w:val="36"/>
              </w:rPr>
            </w:pPr>
            <w:r w:rsidRPr="006B593A">
              <w:rPr>
                <w:rFonts w:ascii="Cambria" w:eastAsia="ヒラギノ明朝 ProN W3" w:hAnsi="Cambria" w:cs="ヒラギノ明朝 ProN W3"/>
                <w:color w:val="000000"/>
                <w:kern w:val="24"/>
                <w:sz w:val="20"/>
                <w:szCs w:val="28"/>
              </w:rPr>
              <w:t>Additional Volume demanded: High estimate</w:t>
            </w:r>
          </w:p>
        </w:tc>
        <w:tc>
          <w:tcPr>
            <w:tcW w:w="1120" w:type="dxa"/>
            <w:tcBorders>
              <w:top w:val="single" w:sz="8" w:space="0" w:color="BECAFF"/>
              <w:left w:val="single" w:sz="8" w:space="0" w:color="BECAFF"/>
              <w:bottom w:val="single" w:sz="24" w:space="0" w:color="BECAFF"/>
              <w:right w:val="single" w:sz="8" w:space="0" w:color="BECAFF"/>
            </w:tcBorders>
            <w:shd w:val="clear" w:color="auto" w:fill="BBE0E3"/>
            <w:tcMar>
              <w:top w:w="20" w:type="dxa"/>
              <w:left w:w="20" w:type="dxa"/>
              <w:bottom w:w="0" w:type="dxa"/>
              <w:right w:w="20" w:type="dxa"/>
            </w:tcMar>
            <w:vAlign w:val="bottom"/>
          </w:tcPr>
          <w:p w14:paraId="49B0C652" w14:textId="77777777" w:rsidR="001E42F9" w:rsidRPr="006B593A" w:rsidRDefault="001E42F9" w:rsidP="00895606">
            <w:pPr>
              <w:textAlignment w:val="bottom"/>
              <w:rPr>
                <w:rFonts w:ascii="Cambria" w:hAnsi="Cambria" w:cs="Times New Roman"/>
                <w:sz w:val="20"/>
                <w:szCs w:val="36"/>
              </w:rPr>
            </w:pPr>
            <w:r w:rsidRPr="006B593A">
              <w:rPr>
                <w:rFonts w:ascii="Cambria" w:eastAsia="ヒラギノ明朝 ProN W3" w:hAnsi="Cambria" w:cs="ヒラギノ明朝 ProN W3"/>
                <w:color w:val="000000"/>
                <w:kern w:val="24"/>
                <w:sz w:val="20"/>
                <w:szCs w:val="28"/>
              </w:rPr>
              <w:t>Additional Volume Demanded: Low estimate</w:t>
            </w:r>
          </w:p>
        </w:tc>
      </w:tr>
      <w:tr w:rsidR="001E42F9" w:rsidRPr="006B593A" w14:paraId="53A53380" w14:textId="77777777">
        <w:trPr>
          <w:trHeight w:val="370"/>
        </w:trPr>
        <w:tc>
          <w:tcPr>
            <w:tcW w:w="1010" w:type="dxa"/>
            <w:tcBorders>
              <w:top w:val="single" w:sz="24"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4410BA94" w14:textId="6DF2BC20" w:rsidR="001E42F9" w:rsidRPr="006B593A" w:rsidRDefault="008D5757" w:rsidP="00895606">
            <w:pPr>
              <w:textAlignment w:val="bottom"/>
              <w:rPr>
                <w:rFonts w:ascii="Cambria" w:hAnsi="Cambria" w:cs="Times New Roman"/>
                <w:sz w:val="22"/>
                <w:szCs w:val="36"/>
              </w:rPr>
            </w:pPr>
            <w:r>
              <w:rPr>
                <w:rFonts w:ascii="Cambria" w:eastAsia="ヒラギノ明朝 ProN W3" w:hAnsi="Cambria" w:cs="ヒラギノ明朝 ProN W3"/>
                <w:color w:val="000000"/>
                <w:kern w:val="24"/>
                <w:sz w:val="22"/>
                <w:szCs w:val="28"/>
              </w:rPr>
              <w:t xml:space="preserve">Market </w:t>
            </w:r>
            <w:r w:rsidR="001E42F9" w:rsidRPr="006B593A">
              <w:rPr>
                <w:rFonts w:ascii="Cambria" w:eastAsia="ヒラギノ明朝 ProN W3" w:hAnsi="Cambria" w:cs="ヒラギノ明朝 ProN W3"/>
                <w:color w:val="000000"/>
                <w:kern w:val="24"/>
                <w:sz w:val="22"/>
                <w:szCs w:val="28"/>
              </w:rPr>
              <w:t>A</w:t>
            </w:r>
          </w:p>
        </w:tc>
        <w:tc>
          <w:tcPr>
            <w:tcW w:w="900" w:type="dxa"/>
            <w:tcBorders>
              <w:top w:val="single" w:sz="24"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50D29076" w14:textId="77777777" w:rsidR="001E42F9" w:rsidRPr="006B593A" w:rsidRDefault="001E42F9" w:rsidP="00895606">
            <w:pPr>
              <w:jc w:val="right"/>
              <w:textAlignment w:val="bottom"/>
              <w:rPr>
                <w:rFonts w:ascii="Cambria" w:eastAsia="ヒラギノ明朝 ProN W3" w:hAnsi="Cambria" w:cs="ヒラギノ明朝 ProN W3"/>
                <w:color w:val="000000"/>
                <w:kern w:val="24"/>
                <w:sz w:val="22"/>
                <w:szCs w:val="28"/>
              </w:rPr>
            </w:pPr>
            <w:r w:rsidRPr="006B593A">
              <w:rPr>
                <w:rFonts w:ascii="Cambria" w:eastAsia="ヒラギノ明朝 ProN W3" w:hAnsi="Cambria" w:cs="ヒラギノ明朝 ProN W3"/>
                <w:color w:val="000000"/>
                <w:kern w:val="24"/>
                <w:sz w:val="22"/>
                <w:szCs w:val="28"/>
              </w:rPr>
              <w:t>100,000</w:t>
            </w:r>
          </w:p>
        </w:tc>
        <w:tc>
          <w:tcPr>
            <w:tcW w:w="1016" w:type="dxa"/>
            <w:tcBorders>
              <w:top w:val="single" w:sz="24"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38FCF0C2" w14:textId="77777777" w:rsidR="001E42F9" w:rsidRPr="006B593A" w:rsidRDefault="001E42F9" w:rsidP="00895606">
            <w:pPr>
              <w:jc w:val="right"/>
              <w:textAlignment w:val="bottom"/>
              <w:rPr>
                <w:rFonts w:ascii="Cambria" w:hAnsi="Cambria" w:cs="Times New Roman"/>
                <w:sz w:val="22"/>
                <w:szCs w:val="36"/>
              </w:rPr>
            </w:pPr>
            <w:r w:rsidRPr="006B593A">
              <w:rPr>
                <w:rFonts w:ascii="Cambria" w:eastAsia="ヒラギノ明朝 ProN W3" w:hAnsi="Cambria" w:cs="ヒラギノ明朝 ProN W3"/>
                <w:color w:val="000000"/>
                <w:kern w:val="24"/>
                <w:sz w:val="22"/>
                <w:szCs w:val="28"/>
              </w:rPr>
              <w:t>1900</w:t>
            </w:r>
          </w:p>
        </w:tc>
        <w:tc>
          <w:tcPr>
            <w:tcW w:w="1030" w:type="dxa"/>
            <w:tcBorders>
              <w:top w:val="single" w:sz="24"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5AAD1FE9" w14:textId="77777777" w:rsidR="001E42F9" w:rsidRPr="006B593A" w:rsidRDefault="001E42F9" w:rsidP="00895606">
            <w:pPr>
              <w:jc w:val="right"/>
              <w:textAlignment w:val="bottom"/>
              <w:rPr>
                <w:rFonts w:ascii="Cambria" w:hAnsi="Cambria" w:cs="Times New Roman"/>
                <w:sz w:val="22"/>
                <w:szCs w:val="36"/>
              </w:rPr>
            </w:pPr>
            <w:r w:rsidRPr="006B593A">
              <w:rPr>
                <w:rFonts w:ascii="Cambria" w:eastAsia="ヒラギノ明朝 ProN W3" w:hAnsi="Cambria" w:cs="ヒラギノ明朝 ProN W3"/>
                <w:color w:val="000000"/>
                <w:kern w:val="24"/>
                <w:sz w:val="22"/>
                <w:szCs w:val="28"/>
              </w:rPr>
              <w:t>52.63</w:t>
            </w:r>
          </w:p>
        </w:tc>
        <w:tc>
          <w:tcPr>
            <w:tcW w:w="940" w:type="dxa"/>
            <w:tcBorders>
              <w:top w:val="single" w:sz="24"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3EAE1AE4" w14:textId="77777777" w:rsidR="001E42F9" w:rsidRPr="006B593A" w:rsidRDefault="001E42F9" w:rsidP="00895606">
            <w:pPr>
              <w:jc w:val="right"/>
              <w:textAlignment w:val="bottom"/>
              <w:rPr>
                <w:rFonts w:ascii="Cambria" w:hAnsi="Cambria" w:cs="Times New Roman"/>
                <w:sz w:val="22"/>
                <w:szCs w:val="36"/>
              </w:rPr>
            </w:pPr>
            <w:r w:rsidRPr="006B593A">
              <w:rPr>
                <w:rFonts w:ascii="Cambria" w:eastAsia="ヒラギノ明朝 ProN W3" w:hAnsi="Cambria" w:cs="ヒラギノ明朝 ProN W3"/>
                <w:color w:val="000000"/>
                <w:kern w:val="24"/>
                <w:sz w:val="22"/>
                <w:szCs w:val="28"/>
              </w:rPr>
              <w:t>0.6</w:t>
            </w:r>
          </w:p>
        </w:tc>
        <w:tc>
          <w:tcPr>
            <w:tcW w:w="1047" w:type="dxa"/>
            <w:tcBorders>
              <w:top w:val="single" w:sz="24"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384A7039" w14:textId="77777777" w:rsidR="001E42F9" w:rsidRPr="006B593A" w:rsidRDefault="001E42F9" w:rsidP="00895606">
            <w:pPr>
              <w:jc w:val="right"/>
              <w:textAlignment w:val="bottom"/>
              <w:rPr>
                <w:rFonts w:ascii="Cambria" w:hAnsi="Cambria" w:cs="Times New Roman"/>
                <w:sz w:val="22"/>
                <w:szCs w:val="36"/>
              </w:rPr>
            </w:pPr>
            <w:r w:rsidRPr="006B593A">
              <w:rPr>
                <w:rFonts w:ascii="Cambria" w:eastAsia="ヒラギノ明朝 ProN W3" w:hAnsi="Cambria" w:cs="ヒラギノ明朝 ProN W3"/>
                <w:color w:val="000000"/>
                <w:kern w:val="24"/>
                <w:sz w:val="22"/>
                <w:szCs w:val="28"/>
              </w:rPr>
              <w:t>0.3</w:t>
            </w:r>
          </w:p>
        </w:tc>
        <w:tc>
          <w:tcPr>
            <w:tcW w:w="900" w:type="dxa"/>
            <w:tcBorders>
              <w:top w:val="single" w:sz="24"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1AC01AEB" w14:textId="77777777" w:rsidR="001E42F9" w:rsidRPr="006B593A" w:rsidRDefault="001E42F9" w:rsidP="00895606">
            <w:pPr>
              <w:jc w:val="right"/>
              <w:textAlignment w:val="bottom"/>
              <w:rPr>
                <w:rFonts w:ascii="Cambria" w:hAnsi="Cambria" w:cs="Times New Roman"/>
                <w:sz w:val="22"/>
                <w:szCs w:val="36"/>
              </w:rPr>
            </w:pPr>
            <w:r w:rsidRPr="006B593A">
              <w:rPr>
                <w:rFonts w:ascii="Cambria" w:eastAsia="ヒラギノ明朝 ProN W3" w:hAnsi="Cambria" w:cs="ヒラギノ明朝 ProN W3"/>
                <w:color w:val="000000"/>
                <w:kern w:val="24"/>
                <w:sz w:val="22"/>
                <w:szCs w:val="28"/>
              </w:rPr>
              <w:t>31.58</w:t>
            </w:r>
          </w:p>
        </w:tc>
        <w:tc>
          <w:tcPr>
            <w:tcW w:w="1120" w:type="dxa"/>
            <w:tcBorders>
              <w:top w:val="single" w:sz="24"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56D5658A" w14:textId="77777777" w:rsidR="001E42F9" w:rsidRPr="006B593A" w:rsidRDefault="001E42F9" w:rsidP="00895606">
            <w:pPr>
              <w:jc w:val="right"/>
              <w:textAlignment w:val="bottom"/>
              <w:rPr>
                <w:rFonts w:ascii="Cambria" w:hAnsi="Cambria" w:cs="Times New Roman"/>
                <w:sz w:val="22"/>
                <w:szCs w:val="36"/>
              </w:rPr>
            </w:pPr>
            <w:r w:rsidRPr="006B593A">
              <w:rPr>
                <w:rFonts w:ascii="Cambria" w:eastAsia="ヒラギノ明朝 ProN W3" w:hAnsi="Cambria" w:cs="ヒラギノ明朝 ProN W3"/>
                <w:color w:val="000000"/>
                <w:kern w:val="24"/>
                <w:sz w:val="22"/>
                <w:szCs w:val="28"/>
              </w:rPr>
              <w:t>15.79</w:t>
            </w:r>
          </w:p>
        </w:tc>
      </w:tr>
      <w:tr w:rsidR="001E42F9" w:rsidRPr="006B593A" w14:paraId="75F780A5" w14:textId="77777777">
        <w:trPr>
          <w:trHeight w:val="239"/>
        </w:trPr>
        <w:tc>
          <w:tcPr>
            <w:tcW w:w="1010"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03B5A393" w14:textId="5E24946C" w:rsidR="001E42F9" w:rsidRPr="006B593A" w:rsidRDefault="008D5757" w:rsidP="00895606">
            <w:pPr>
              <w:textAlignment w:val="bottom"/>
              <w:rPr>
                <w:rFonts w:ascii="Cambria" w:hAnsi="Cambria" w:cs="Times New Roman"/>
                <w:sz w:val="22"/>
                <w:szCs w:val="36"/>
              </w:rPr>
            </w:pPr>
            <w:r>
              <w:rPr>
                <w:rFonts w:ascii="Cambria" w:eastAsia="ヒラギノ明朝 ProN W3" w:hAnsi="Cambria" w:cs="ヒラギノ明朝 ProN W3"/>
                <w:color w:val="000000"/>
                <w:kern w:val="24"/>
                <w:sz w:val="22"/>
                <w:szCs w:val="28"/>
              </w:rPr>
              <w:t xml:space="preserve">Market </w:t>
            </w:r>
            <w:r w:rsidR="001E42F9" w:rsidRPr="006B593A">
              <w:rPr>
                <w:rFonts w:ascii="Cambria" w:eastAsia="ヒラギノ明朝 ProN W3" w:hAnsi="Cambria" w:cs="ヒラギノ明朝 ProN W3"/>
                <w:color w:val="000000"/>
                <w:kern w:val="24"/>
                <w:sz w:val="22"/>
                <w:szCs w:val="28"/>
              </w:rPr>
              <w:t>B</w:t>
            </w:r>
          </w:p>
        </w:tc>
        <w:tc>
          <w:tcPr>
            <w:tcW w:w="900"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6A50EB5B" w14:textId="77777777" w:rsidR="001E42F9" w:rsidRPr="006B593A" w:rsidRDefault="001E42F9" w:rsidP="00895606">
            <w:pPr>
              <w:jc w:val="right"/>
              <w:textAlignment w:val="bottom"/>
              <w:rPr>
                <w:rFonts w:ascii="Cambria" w:eastAsia="ヒラギノ明朝 ProN W3" w:hAnsi="Cambria" w:cs="ヒラギノ明朝 ProN W3"/>
                <w:color w:val="000000"/>
                <w:kern w:val="24"/>
                <w:sz w:val="22"/>
                <w:szCs w:val="28"/>
              </w:rPr>
            </w:pPr>
            <w:r w:rsidRPr="006B593A">
              <w:rPr>
                <w:rFonts w:ascii="Cambria" w:eastAsia="ヒラギノ明朝 ProN W3" w:hAnsi="Cambria" w:cs="ヒラギノ明朝 ProN W3"/>
                <w:color w:val="000000"/>
                <w:kern w:val="24"/>
                <w:sz w:val="22"/>
                <w:szCs w:val="28"/>
              </w:rPr>
              <w:t>200,000</w:t>
            </w:r>
          </w:p>
        </w:tc>
        <w:tc>
          <w:tcPr>
            <w:tcW w:w="1016"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3D6201A9" w14:textId="77777777" w:rsidR="001E42F9" w:rsidRPr="006B593A" w:rsidRDefault="001E42F9" w:rsidP="00895606">
            <w:pPr>
              <w:jc w:val="right"/>
              <w:textAlignment w:val="bottom"/>
              <w:rPr>
                <w:rFonts w:ascii="Cambria" w:hAnsi="Cambria" w:cs="Times New Roman"/>
                <w:sz w:val="22"/>
                <w:szCs w:val="36"/>
              </w:rPr>
            </w:pPr>
            <w:r w:rsidRPr="006B593A">
              <w:rPr>
                <w:rFonts w:ascii="Cambria" w:eastAsia="ヒラギノ明朝 ProN W3" w:hAnsi="Cambria" w:cs="ヒラギノ明朝 ProN W3"/>
                <w:color w:val="000000"/>
                <w:kern w:val="24"/>
                <w:sz w:val="22"/>
                <w:szCs w:val="28"/>
              </w:rPr>
              <w:t>1900</w:t>
            </w:r>
          </w:p>
        </w:tc>
        <w:tc>
          <w:tcPr>
            <w:tcW w:w="1030"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73E6970B" w14:textId="77777777" w:rsidR="001E42F9" w:rsidRPr="006B593A" w:rsidRDefault="001E42F9" w:rsidP="00895606">
            <w:pPr>
              <w:jc w:val="right"/>
              <w:textAlignment w:val="bottom"/>
              <w:rPr>
                <w:rFonts w:ascii="Cambria" w:hAnsi="Cambria" w:cs="Times New Roman"/>
                <w:sz w:val="22"/>
                <w:szCs w:val="36"/>
              </w:rPr>
            </w:pPr>
            <w:r w:rsidRPr="006B593A">
              <w:rPr>
                <w:rFonts w:ascii="Cambria" w:eastAsia="ヒラギノ明朝 ProN W3" w:hAnsi="Cambria" w:cs="ヒラギノ明朝 ProN W3"/>
                <w:color w:val="000000"/>
                <w:kern w:val="24"/>
                <w:sz w:val="22"/>
                <w:szCs w:val="28"/>
              </w:rPr>
              <w:t>105.26</w:t>
            </w:r>
          </w:p>
        </w:tc>
        <w:tc>
          <w:tcPr>
            <w:tcW w:w="940"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703D7B5A" w14:textId="77777777" w:rsidR="001E42F9" w:rsidRPr="006B593A" w:rsidRDefault="001E42F9" w:rsidP="00895606">
            <w:pPr>
              <w:jc w:val="right"/>
              <w:textAlignment w:val="bottom"/>
              <w:rPr>
                <w:rFonts w:ascii="Cambria" w:hAnsi="Cambria" w:cs="Times New Roman"/>
                <w:sz w:val="22"/>
                <w:szCs w:val="36"/>
              </w:rPr>
            </w:pPr>
            <w:r w:rsidRPr="006B593A">
              <w:rPr>
                <w:rFonts w:ascii="Cambria" w:eastAsia="ヒラギノ明朝 ProN W3" w:hAnsi="Cambria" w:cs="ヒラギノ明朝 ProN W3"/>
                <w:color w:val="000000"/>
                <w:kern w:val="24"/>
                <w:sz w:val="22"/>
                <w:szCs w:val="28"/>
              </w:rPr>
              <w:t>0.6</w:t>
            </w:r>
          </w:p>
        </w:tc>
        <w:tc>
          <w:tcPr>
            <w:tcW w:w="1047"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01B21D5E" w14:textId="77777777" w:rsidR="001E42F9" w:rsidRPr="006B593A" w:rsidRDefault="001E42F9" w:rsidP="00895606">
            <w:pPr>
              <w:jc w:val="right"/>
              <w:textAlignment w:val="bottom"/>
              <w:rPr>
                <w:rFonts w:ascii="Cambria" w:hAnsi="Cambria" w:cs="Times New Roman"/>
                <w:sz w:val="22"/>
                <w:szCs w:val="36"/>
              </w:rPr>
            </w:pPr>
            <w:r w:rsidRPr="006B593A">
              <w:rPr>
                <w:rFonts w:ascii="Cambria" w:eastAsia="ヒラギノ明朝 ProN W3" w:hAnsi="Cambria" w:cs="ヒラギノ明朝 ProN W3"/>
                <w:color w:val="000000"/>
                <w:kern w:val="24"/>
                <w:sz w:val="22"/>
                <w:szCs w:val="28"/>
              </w:rPr>
              <w:t>0.3</w:t>
            </w:r>
          </w:p>
        </w:tc>
        <w:tc>
          <w:tcPr>
            <w:tcW w:w="900"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291D4164" w14:textId="77777777" w:rsidR="001E42F9" w:rsidRPr="006B593A" w:rsidRDefault="001E42F9" w:rsidP="00895606">
            <w:pPr>
              <w:jc w:val="right"/>
              <w:textAlignment w:val="bottom"/>
              <w:rPr>
                <w:rFonts w:ascii="Cambria" w:hAnsi="Cambria" w:cs="Times New Roman"/>
                <w:sz w:val="22"/>
                <w:szCs w:val="36"/>
              </w:rPr>
            </w:pPr>
            <w:r w:rsidRPr="006B593A">
              <w:rPr>
                <w:rFonts w:ascii="Cambria" w:eastAsia="ヒラギノ明朝 ProN W3" w:hAnsi="Cambria" w:cs="ヒラギノ明朝 ProN W3"/>
                <w:color w:val="000000"/>
                <w:kern w:val="24"/>
                <w:sz w:val="22"/>
                <w:szCs w:val="28"/>
              </w:rPr>
              <w:t>63.16</w:t>
            </w:r>
          </w:p>
        </w:tc>
        <w:tc>
          <w:tcPr>
            <w:tcW w:w="1120"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6262738B" w14:textId="77777777" w:rsidR="001E42F9" w:rsidRPr="006B593A" w:rsidRDefault="001E42F9" w:rsidP="00895606">
            <w:pPr>
              <w:jc w:val="right"/>
              <w:textAlignment w:val="bottom"/>
              <w:rPr>
                <w:rFonts w:ascii="Cambria" w:hAnsi="Cambria" w:cs="Times New Roman"/>
                <w:sz w:val="22"/>
                <w:szCs w:val="36"/>
              </w:rPr>
            </w:pPr>
            <w:r w:rsidRPr="006B593A">
              <w:rPr>
                <w:rFonts w:ascii="Cambria" w:eastAsia="ヒラギノ明朝 ProN W3" w:hAnsi="Cambria" w:cs="ヒラギノ明朝 ProN W3"/>
                <w:color w:val="000000"/>
                <w:kern w:val="24"/>
                <w:sz w:val="22"/>
                <w:szCs w:val="28"/>
              </w:rPr>
              <w:t>31.58</w:t>
            </w:r>
          </w:p>
        </w:tc>
      </w:tr>
    </w:tbl>
    <w:p w14:paraId="24C71AAF" w14:textId="77777777" w:rsidR="00A04069" w:rsidRDefault="00A04069" w:rsidP="001E42F9">
      <w:pPr>
        <w:rPr>
          <w:b/>
        </w:rPr>
      </w:pPr>
    </w:p>
    <w:p w14:paraId="6F2AF253" w14:textId="2549F51F" w:rsidR="00507C6B" w:rsidRDefault="00C267E0" w:rsidP="001E42F9">
      <w:pPr>
        <w:rPr>
          <w:rFonts w:ascii="Cambria" w:eastAsia="Cambria" w:hAnsi="Cambria" w:cs="Times New Roman"/>
        </w:rPr>
      </w:pPr>
      <w:r>
        <w:t xml:space="preserve">Analysts are considering </w:t>
      </w:r>
      <w:r w:rsidR="006B5647">
        <w:t xml:space="preserve">cash dispersal to food insecure households utilizing two different markets. </w:t>
      </w:r>
      <w:r w:rsidR="008D5757">
        <w:rPr>
          <w:rFonts w:ascii="Cambria" w:eastAsia="Cambria" w:hAnsi="Cambria" w:cs="Times New Roman"/>
        </w:rPr>
        <w:t>In market</w:t>
      </w:r>
      <w:r>
        <w:rPr>
          <w:rFonts w:ascii="Cambria" w:eastAsia="Cambria" w:hAnsi="Cambria" w:cs="Times New Roman"/>
        </w:rPr>
        <w:t xml:space="preserve"> A, </w:t>
      </w:r>
      <w:r w:rsidR="008D5757">
        <w:rPr>
          <w:rFonts w:ascii="Cambria" w:eastAsia="Cambria" w:hAnsi="Cambria" w:cs="Times New Roman"/>
        </w:rPr>
        <w:t>the dispersal to food insecure households will be approximately</w:t>
      </w:r>
      <w:r w:rsidR="00A04069">
        <w:rPr>
          <w:rFonts w:ascii="Cambria" w:eastAsia="Cambria" w:hAnsi="Cambria" w:cs="Times New Roman"/>
        </w:rPr>
        <w:t xml:space="preserve"> </w:t>
      </w:r>
      <w:r w:rsidR="008D5757">
        <w:rPr>
          <w:rFonts w:ascii="Cambria" w:eastAsia="Cambria" w:hAnsi="Cambria" w:cs="Times New Roman"/>
        </w:rPr>
        <w:t>$</w:t>
      </w:r>
      <w:r w:rsidR="00A04069">
        <w:rPr>
          <w:rFonts w:ascii="Cambria" w:eastAsia="Cambria" w:hAnsi="Cambria" w:cs="Times New Roman"/>
        </w:rPr>
        <w:t xml:space="preserve">100,000, </w:t>
      </w:r>
      <w:r w:rsidR="006B5647">
        <w:rPr>
          <w:rFonts w:ascii="Cambria" w:eastAsia="Cambria" w:hAnsi="Cambria" w:cs="Times New Roman"/>
        </w:rPr>
        <w:t>and in the second, market</w:t>
      </w:r>
      <w:r>
        <w:rPr>
          <w:rFonts w:ascii="Cambria" w:eastAsia="Cambria" w:hAnsi="Cambria" w:cs="Times New Roman"/>
        </w:rPr>
        <w:t xml:space="preserve"> </w:t>
      </w:r>
      <w:r w:rsidR="00A04069">
        <w:rPr>
          <w:rFonts w:ascii="Cambria" w:eastAsia="Cambria" w:hAnsi="Cambria" w:cs="Times New Roman"/>
        </w:rPr>
        <w:t>B, it is 200,000. The cost of staples, per metric ton, is 1900 in both markets. Simple division reveals the total amount of metric tons that could be purchased in th</w:t>
      </w:r>
      <w:r w:rsidR="00223CA8">
        <w:rPr>
          <w:rFonts w:ascii="Cambria" w:eastAsia="Cambria" w:hAnsi="Cambria" w:cs="Times New Roman"/>
        </w:rPr>
        <w:t>is market</w:t>
      </w:r>
      <w:r w:rsidR="00BE5D6C">
        <w:rPr>
          <w:rFonts w:ascii="Cambria" w:eastAsia="Cambria" w:hAnsi="Cambria" w:cs="Times New Roman"/>
        </w:rPr>
        <w:t>,</w:t>
      </w:r>
      <w:r w:rsidR="00A04069">
        <w:rPr>
          <w:rFonts w:ascii="Cambria" w:eastAsia="Cambria" w:hAnsi="Cambria" w:cs="Times New Roman"/>
        </w:rPr>
        <w:t xml:space="preserve"> if every recipient spent all of their transfers on this one commodity. This is an unlikely assumption and therefore, we apply two income elasticities of demand</w:t>
      </w:r>
      <w:r w:rsidR="00507C6B">
        <w:rPr>
          <w:rFonts w:ascii="Cambria" w:eastAsia="Cambria" w:hAnsi="Cambria" w:cs="Times New Roman"/>
        </w:rPr>
        <w:t>.</w:t>
      </w:r>
      <w:r w:rsidR="00A04069">
        <w:rPr>
          <w:rFonts w:ascii="Cambria" w:eastAsia="Cambria" w:hAnsi="Cambria" w:cs="Times New Roman"/>
        </w:rPr>
        <w:t xml:space="preserve"> </w:t>
      </w:r>
      <w:r w:rsidR="004728EB">
        <w:rPr>
          <w:rFonts w:ascii="Cambria" w:eastAsia="Cambria" w:hAnsi="Cambria" w:cs="Times New Roman"/>
        </w:rPr>
        <w:t>We use 0.6 and 0.3 as our high and low estim</w:t>
      </w:r>
      <w:r w:rsidR="00507C6B">
        <w:rPr>
          <w:rFonts w:ascii="Cambria" w:eastAsia="Cambria" w:hAnsi="Cambria" w:cs="Times New Roman"/>
        </w:rPr>
        <w:t>ates of income elasticities</w:t>
      </w:r>
      <w:r w:rsidR="00680CB6">
        <w:rPr>
          <w:rFonts w:ascii="Cambria" w:eastAsia="Cambria" w:hAnsi="Cambria" w:cs="Times New Roman"/>
        </w:rPr>
        <w:t>. Recall that an income elasticity of demand of 0.6 means that for an additional dollar transferred, $0.60 will be spent on food.</w:t>
      </w:r>
      <w:r w:rsidR="00A04069">
        <w:rPr>
          <w:rFonts w:ascii="Cambria" w:eastAsia="Cambria" w:hAnsi="Cambria" w:cs="Times New Roman"/>
        </w:rPr>
        <w:t xml:space="preserve"> </w:t>
      </w:r>
      <w:r w:rsidR="00507C6B">
        <w:rPr>
          <w:rFonts w:ascii="Cambria" w:eastAsia="Cambria" w:hAnsi="Cambria" w:cs="Times New Roman"/>
        </w:rPr>
        <w:t xml:space="preserve">Applying the elasticities to the total amount of food that could be purchased </w:t>
      </w:r>
      <w:r w:rsidR="00493C65">
        <w:rPr>
          <w:rFonts w:ascii="Cambria" w:eastAsia="Cambria" w:hAnsi="Cambria" w:cs="Times New Roman"/>
        </w:rPr>
        <w:t xml:space="preserve">results in </w:t>
      </w:r>
      <w:r w:rsidR="00507C6B">
        <w:rPr>
          <w:rFonts w:ascii="Cambria" w:eastAsia="Cambria" w:hAnsi="Cambria" w:cs="Times New Roman"/>
        </w:rPr>
        <w:t>estimate</w:t>
      </w:r>
      <w:r w:rsidR="00493C65">
        <w:rPr>
          <w:rFonts w:ascii="Cambria" w:eastAsia="Cambria" w:hAnsi="Cambria" w:cs="Times New Roman"/>
        </w:rPr>
        <w:t xml:space="preserve">d </w:t>
      </w:r>
      <w:r w:rsidR="00507C6B">
        <w:rPr>
          <w:rFonts w:ascii="Cambria" w:eastAsia="Cambria" w:hAnsi="Cambria" w:cs="Times New Roman"/>
        </w:rPr>
        <w:t>additional volume demanded.</w:t>
      </w:r>
    </w:p>
    <w:p w14:paraId="410A5877" w14:textId="77777777" w:rsidR="00507C6B" w:rsidRDefault="00507C6B" w:rsidP="001E42F9">
      <w:pPr>
        <w:rPr>
          <w:rFonts w:ascii="Cambria" w:eastAsia="Cambria" w:hAnsi="Cambria" w:cs="Times New Roman"/>
        </w:rPr>
      </w:pPr>
    </w:p>
    <w:p w14:paraId="2795E4C5" w14:textId="5D9F3D95" w:rsidR="001E42F9" w:rsidRDefault="001E42F9" w:rsidP="001E42F9">
      <w:pPr>
        <w:rPr>
          <w:rFonts w:ascii="Cambria" w:eastAsia="Cambria" w:hAnsi="Cambria" w:cs="Times New Roman"/>
        </w:rPr>
      </w:pPr>
      <w:r>
        <w:rPr>
          <w:rFonts w:ascii="Cambria" w:eastAsia="Cambria" w:hAnsi="Cambria" w:cs="Times New Roman"/>
        </w:rPr>
        <w:t xml:space="preserve">Note that when trying to estimate the induced price effects in a market, the analyst wants to use the aggregate transfers to households in the area so as to capture the aggregate demand effect, which needs to be matched up to the elicited supply curve in order to establish expected price increases. The same technique can be applied when trying to estimate the expected price increases in source markets due to local or regional purchases by operational agencies, using the total purchase value instead of aggregate transfer value. If the expected induced price increases are on the order of 10% or more in a market, the </w:t>
      </w:r>
      <w:r w:rsidR="0005254B">
        <w:rPr>
          <w:rFonts w:ascii="Cambria" w:eastAsia="Cambria" w:hAnsi="Cambria" w:cs="Times New Roman"/>
        </w:rPr>
        <w:t xml:space="preserve">proposed </w:t>
      </w:r>
      <w:r>
        <w:rPr>
          <w:rFonts w:ascii="Cambria" w:eastAsia="Cambria" w:hAnsi="Cambria" w:cs="Times New Roman"/>
        </w:rPr>
        <w:t>actions (whether LRP or cash transfers to households) are likely to harm food insecure net buyers in those markets and may be inadvisable.</w:t>
      </w:r>
    </w:p>
    <w:p w14:paraId="3C762685" w14:textId="77777777" w:rsidR="001E42F9" w:rsidRDefault="001E42F9" w:rsidP="001E42F9">
      <w:pPr>
        <w:rPr>
          <w:rFonts w:ascii="Cambria" w:eastAsia="Cambria" w:hAnsi="Cambria" w:cs="Times New Roman"/>
        </w:rPr>
      </w:pPr>
    </w:p>
    <w:p w14:paraId="4F20A897" w14:textId="5EF08DB7" w:rsidR="00195746" w:rsidRDefault="00195746" w:rsidP="001E42F9">
      <w:pPr>
        <w:rPr>
          <w:rFonts w:ascii="Cambria" w:eastAsia="Cambria" w:hAnsi="Cambria" w:cs="Times New Roman"/>
        </w:rPr>
      </w:pPr>
      <w:r>
        <w:rPr>
          <w:rFonts w:ascii="Cambria" w:eastAsia="Cambria" w:hAnsi="Cambria" w:cs="Times New Roman"/>
        </w:rPr>
        <w:t xml:space="preserve">Applying the elasticities of demand </w:t>
      </w:r>
      <w:r w:rsidR="00796FCA">
        <w:rPr>
          <w:rFonts w:ascii="Cambria" w:eastAsia="Cambria" w:hAnsi="Cambria" w:cs="Times New Roman"/>
        </w:rPr>
        <w:t>generates</w:t>
      </w:r>
      <w:r>
        <w:rPr>
          <w:rFonts w:ascii="Cambria" w:eastAsia="Cambria" w:hAnsi="Cambria" w:cs="Times New Roman"/>
        </w:rPr>
        <w:t xml:space="preserve"> estimates of the additional supply needed.</w:t>
      </w:r>
      <w:r w:rsidR="006B5647">
        <w:rPr>
          <w:rFonts w:ascii="Cambria" w:eastAsia="Cambria" w:hAnsi="Cambria" w:cs="Times New Roman"/>
        </w:rPr>
        <w:t xml:space="preserve"> For this example, assume that </w:t>
      </w:r>
      <w:r w:rsidR="000D6336">
        <w:rPr>
          <w:rFonts w:ascii="Cambria" w:eastAsia="Cambria" w:hAnsi="Cambria" w:cs="Times New Roman"/>
        </w:rPr>
        <w:t>the</w:t>
      </w:r>
      <w:r w:rsidR="00F07719">
        <w:rPr>
          <w:rFonts w:ascii="Cambria" w:eastAsia="Cambria" w:hAnsi="Cambria" w:cs="Times New Roman"/>
        </w:rPr>
        <w:t xml:space="preserve"> set of</w:t>
      </w:r>
      <w:r w:rsidR="000D6336">
        <w:rPr>
          <w:rFonts w:ascii="Cambria" w:eastAsia="Cambria" w:hAnsi="Cambria" w:cs="Times New Roman"/>
        </w:rPr>
        <w:t xml:space="preserve"> </w:t>
      </w:r>
      <w:r w:rsidR="006B5647">
        <w:rPr>
          <w:rFonts w:ascii="Cambria" w:eastAsia="Cambria" w:hAnsi="Cambria" w:cs="Times New Roman"/>
        </w:rPr>
        <w:t xml:space="preserve">traders operating in market A </w:t>
      </w:r>
      <w:r w:rsidR="00F07719">
        <w:rPr>
          <w:rFonts w:ascii="Cambria" w:eastAsia="Cambria" w:hAnsi="Cambria" w:cs="Times New Roman"/>
        </w:rPr>
        <w:t xml:space="preserve">is identical to the set operating in </w:t>
      </w:r>
      <w:r w:rsidR="006B5647">
        <w:rPr>
          <w:rFonts w:ascii="Cambria" w:eastAsia="Cambria" w:hAnsi="Cambria" w:cs="Times New Roman"/>
        </w:rPr>
        <w:t>market B</w:t>
      </w:r>
      <w:r w:rsidR="00F07719">
        <w:rPr>
          <w:rFonts w:ascii="Cambria" w:eastAsia="Cambria" w:hAnsi="Cambria" w:cs="Times New Roman"/>
        </w:rPr>
        <w:t xml:space="preserve"> so that market A and B traders </w:t>
      </w:r>
      <w:r w:rsidR="006B5647">
        <w:rPr>
          <w:rFonts w:ascii="Cambria" w:eastAsia="Cambria" w:hAnsi="Cambria" w:cs="Times New Roman"/>
        </w:rPr>
        <w:t xml:space="preserve">have identical marginal cost structures (in a true MIFIRA analysis, one would want </w:t>
      </w:r>
      <w:r w:rsidR="00CA3CF4">
        <w:rPr>
          <w:rFonts w:ascii="Cambria" w:eastAsia="Cambria" w:hAnsi="Cambria" w:cs="Times New Roman"/>
        </w:rPr>
        <w:t>verify this is the case by</w:t>
      </w:r>
      <w:r w:rsidR="006B5647">
        <w:rPr>
          <w:rFonts w:ascii="Cambria" w:eastAsia="Cambria" w:hAnsi="Cambria" w:cs="Times New Roman"/>
        </w:rPr>
        <w:t xml:space="preserve"> elicit</w:t>
      </w:r>
      <w:r w:rsidR="00CA3CF4">
        <w:rPr>
          <w:rFonts w:ascii="Cambria" w:eastAsia="Cambria" w:hAnsi="Cambria" w:cs="Times New Roman"/>
        </w:rPr>
        <w:t>ing</w:t>
      </w:r>
      <w:r w:rsidR="006B5647">
        <w:rPr>
          <w:rFonts w:ascii="Cambria" w:eastAsia="Cambria" w:hAnsi="Cambria" w:cs="Times New Roman"/>
        </w:rPr>
        <w:t xml:space="preserve"> marginal costs from a subsample of communities)</w:t>
      </w:r>
      <w:r w:rsidR="000D6336">
        <w:rPr>
          <w:rFonts w:ascii="Cambria" w:eastAsia="Cambria" w:hAnsi="Cambria" w:cs="Times New Roman"/>
        </w:rPr>
        <w:t>.</w:t>
      </w:r>
      <w:r>
        <w:rPr>
          <w:rFonts w:ascii="Cambria" w:eastAsia="Cambria" w:hAnsi="Cambria" w:cs="Times New Roman"/>
        </w:rPr>
        <w:t xml:space="preserve"> Returning to the supply schedule established through trader interview</w:t>
      </w:r>
      <w:r w:rsidR="006B5647">
        <w:rPr>
          <w:rFonts w:ascii="Cambria" w:eastAsia="Cambria" w:hAnsi="Cambria" w:cs="Times New Roman"/>
        </w:rPr>
        <w:t>s</w:t>
      </w:r>
      <w:r>
        <w:rPr>
          <w:rFonts w:ascii="Cambria" w:eastAsia="Cambria" w:hAnsi="Cambria" w:cs="Times New Roman"/>
        </w:rPr>
        <w:t xml:space="preserve"> about their marginal costs, we find that prices will barely increase in scenario </w:t>
      </w:r>
      <w:r w:rsidR="00E63DAC">
        <w:rPr>
          <w:rFonts w:ascii="Cambria" w:eastAsia="Cambria" w:hAnsi="Cambria" w:cs="Times New Roman"/>
        </w:rPr>
        <w:t>1</w:t>
      </w:r>
      <w:r w:rsidR="00121336">
        <w:rPr>
          <w:rFonts w:ascii="Cambria" w:eastAsia="Cambria" w:hAnsi="Cambria" w:cs="Times New Roman"/>
        </w:rPr>
        <w:t>, which is a distribution to households who use market A and who have a low elasticity of demand</w:t>
      </w:r>
      <w:r w:rsidR="00E63DAC">
        <w:rPr>
          <w:rFonts w:ascii="Cambria" w:eastAsia="Cambria" w:hAnsi="Cambria" w:cs="Times New Roman"/>
        </w:rPr>
        <w:t>. However, in scenarios 2-4</w:t>
      </w:r>
      <w:r>
        <w:rPr>
          <w:rFonts w:ascii="Cambria" w:eastAsia="Cambria" w:hAnsi="Cambria" w:cs="Times New Roman"/>
        </w:rPr>
        <w:t xml:space="preserve">, the amount of food demanded will be greater than what traders can provide at current costs, resulting in an induced price change of </w:t>
      </w:r>
      <w:r w:rsidR="00E904FF">
        <w:rPr>
          <w:rFonts w:ascii="Cambria" w:eastAsia="Cambria" w:hAnsi="Cambria" w:cs="Times New Roman"/>
        </w:rPr>
        <w:t xml:space="preserve">at least </w:t>
      </w:r>
      <w:r>
        <w:rPr>
          <w:rFonts w:ascii="Cambria" w:eastAsia="Cambria" w:hAnsi="Cambria" w:cs="Times New Roman"/>
        </w:rPr>
        <w:t>18%.</w:t>
      </w:r>
      <w:r w:rsidR="00E904FF">
        <w:rPr>
          <w:rFonts w:ascii="Cambria" w:eastAsia="Cambria" w:hAnsi="Cambria" w:cs="Times New Roman"/>
        </w:rPr>
        <w:t xml:space="preserve"> </w:t>
      </w:r>
      <w:r w:rsidR="00661645">
        <w:rPr>
          <w:rFonts w:ascii="Cambria" w:eastAsia="Cambria" w:hAnsi="Cambria" w:cs="Times New Roman"/>
        </w:rPr>
        <w:t xml:space="preserve"> </w:t>
      </w:r>
    </w:p>
    <w:p w14:paraId="32F09B7F" w14:textId="77777777" w:rsidR="00195746" w:rsidRDefault="00195746" w:rsidP="001E42F9">
      <w:pPr>
        <w:rPr>
          <w:rFonts w:ascii="Cambria" w:eastAsia="Cambria" w:hAnsi="Cambria" w:cs="Times New Roman"/>
        </w:rPr>
      </w:pPr>
    </w:p>
    <w:tbl>
      <w:tblPr>
        <w:tblW w:w="7580" w:type="dxa"/>
        <w:tblCellMar>
          <w:left w:w="0" w:type="dxa"/>
          <w:right w:w="0" w:type="dxa"/>
        </w:tblCellMar>
        <w:tblLook w:val="0000" w:firstRow="0" w:lastRow="0" w:firstColumn="0" w:lastColumn="0" w:noHBand="0" w:noVBand="0"/>
      </w:tblPr>
      <w:tblGrid>
        <w:gridCol w:w="3170"/>
        <w:gridCol w:w="1260"/>
        <w:gridCol w:w="1800"/>
        <w:gridCol w:w="1350"/>
      </w:tblGrid>
      <w:tr w:rsidR="001E42F9" w:rsidRPr="00824ACD" w14:paraId="5884F860" w14:textId="77777777">
        <w:trPr>
          <w:trHeight w:val="585"/>
        </w:trPr>
        <w:tc>
          <w:tcPr>
            <w:tcW w:w="3170" w:type="dxa"/>
            <w:tcBorders>
              <w:top w:val="single" w:sz="8" w:space="0" w:color="BECAFF"/>
              <w:left w:val="single" w:sz="8" w:space="0" w:color="BECAFF"/>
              <w:bottom w:val="single" w:sz="24" w:space="0" w:color="BECAFF"/>
              <w:right w:val="single" w:sz="8" w:space="0" w:color="BECAFF"/>
            </w:tcBorders>
            <w:shd w:val="clear" w:color="auto" w:fill="BBE0E3"/>
            <w:tcMar>
              <w:top w:w="20" w:type="dxa"/>
              <w:left w:w="20" w:type="dxa"/>
              <w:bottom w:w="0" w:type="dxa"/>
              <w:right w:w="20" w:type="dxa"/>
            </w:tcMar>
            <w:vAlign w:val="bottom"/>
          </w:tcPr>
          <w:p w14:paraId="1BB084B3" w14:textId="77777777" w:rsidR="001E42F9" w:rsidRPr="00824ACD" w:rsidRDefault="001E42F9" w:rsidP="00895606">
            <w:pPr>
              <w:ind w:right="70"/>
              <w:textAlignment w:val="bottom"/>
              <w:rPr>
                <w:rFonts w:ascii="Cambria" w:hAnsi="Cambria" w:cs="Times New Roman"/>
                <w:sz w:val="22"/>
                <w:szCs w:val="36"/>
              </w:rPr>
            </w:pPr>
            <w:r w:rsidRPr="00824ACD">
              <w:rPr>
                <w:rFonts w:ascii="Cambria" w:eastAsia="ヒラギノ明朝 ProN W3" w:hAnsi="Cambria" w:cs="ヒラギノ明朝 ProN W3"/>
                <w:b/>
                <w:bCs/>
                <w:color w:val="000000"/>
                <w:kern w:val="24"/>
                <w:sz w:val="22"/>
                <w:szCs w:val="36"/>
              </w:rPr>
              <w:t>Income elasticity of demand scenario</w:t>
            </w:r>
          </w:p>
        </w:tc>
        <w:tc>
          <w:tcPr>
            <w:tcW w:w="1260" w:type="dxa"/>
            <w:tcBorders>
              <w:top w:val="single" w:sz="8" w:space="0" w:color="BECAFF"/>
              <w:left w:val="single" w:sz="8" w:space="0" w:color="BECAFF"/>
              <w:bottom w:val="single" w:sz="24" w:space="0" w:color="BECAFF"/>
              <w:right w:val="single" w:sz="8" w:space="0" w:color="BECAFF"/>
            </w:tcBorders>
            <w:shd w:val="clear" w:color="auto" w:fill="BBE0E3"/>
            <w:tcMar>
              <w:top w:w="20" w:type="dxa"/>
              <w:left w:w="20" w:type="dxa"/>
              <w:bottom w:w="0" w:type="dxa"/>
              <w:right w:w="20" w:type="dxa"/>
            </w:tcMar>
            <w:vAlign w:val="bottom"/>
          </w:tcPr>
          <w:p w14:paraId="5DDF8C56" w14:textId="77777777" w:rsidR="001E42F9" w:rsidRPr="00824ACD" w:rsidRDefault="001E42F9" w:rsidP="00895606">
            <w:pPr>
              <w:ind w:right="70"/>
              <w:textAlignment w:val="bottom"/>
              <w:rPr>
                <w:rFonts w:ascii="Cambria" w:hAnsi="Cambria" w:cs="Times New Roman"/>
                <w:sz w:val="22"/>
                <w:szCs w:val="36"/>
              </w:rPr>
            </w:pPr>
            <w:r w:rsidRPr="00824ACD">
              <w:rPr>
                <w:rFonts w:ascii="Cambria" w:eastAsia="ヒラギノ明朝 ProN W3" w:hAnsi="Cambria" w:cs="ヒラギノ明朝 ProN W3"/>
                <w:b/>
                <w:bCs/>
                <w:color w:val="000000"/>
                <w:kern w:val="24"/>
                <w:sz w:val="22"/>
                <w:szCs w:val="36"/>
              </w:rPr>
              <w:t xml:space="preserve">Additional Supply Needed (MT) </w:t>
            </w:r>
          </w:p>
        </w:tc>
        <w:tc>
          <w:tcPr>
            <w:tcW w:w="1800" w:type="dxa"/>
            <w:tcBorders>
              <w:top w:val="single" w:sz="8" w:space="0" w:color="BECAFF"/>
              <w:left w:val="single" w:sz="8" w:space="0" w:color="BECAFF"/>
              <w:bottom w:val="single" w:sz="24" w:space="0" w:color="BECAFF"/>
              <w:right w:val="single" w:sz="8" w:space="0" w:color="BECAFF"/>
            </w:tcBorders>
            <w:shd w:val="clear" w:color="auto" w:fill="BBE0E3"/>
            <w:tcMar>
              <w:top w:w="20" w:type="dxa"/>
              <w:left w:w="20" w:type="dxa"/>
              <w:bottom w:w="0" w:type="dxa"/>
              <w:right w:w="20" w:type="dxa"/>
            </w:tcMar>
            <w:vAlign w:val="bottom"/>
          </w:tcPr>
          <w:p w14:paraId="641799C1" w14:textId="77777777" w:rsidR="001E42F9" w:rsidRPr="00824ACD" w:rsidRDefault="001E42F9" w:rsidP="00895606">
            <w:pPr>
              <w:ind w:right="70"/>
              <w:textAlignment w:val="bottom"/>
              <w:rPr>
                <w:rFonts w:ascii="Cambria" w:hAnsi="Cambria" w:cs="Times New Roman"/>
                <w:sz w:val="22"/>
                <w:szCs w:val="36"/>
              </w:rPr>
            </w:pPr>
            <w:r w:rsidRPr="00824ACD">
              <w:rPr>
                <w:rFonts w:ascii="Cambria" w:eastAsia="ヒラギノ明朝 ProN W3" w:hAnsi="Cambria" w:cs="ヒラギノ明朝 ProN W3"/>
                <w:b/>
                <w:bCs/>
                <w:color w:val="000000"/>
                <w:kern w:val="24"/>
                <w:sz w:val="22"/>
                <w:szCs w:val="36"/>
              </w:rPr>
              <w:t>Marginal Cost (find from ordered AS schedule)</w:t>
            </w:r>
          </w:p>
        </w:tc>
        <w:tc>
          <w:tcPr>
            <w:tcW w:w="1350" w:type="dxa"/>
            <w:tcBorders>
              <w:top w:val="single" w:sz="8" w:space="0" w:color="BECAFF"/>
              <w:left w:val="single" w:sz="8" w:space="0" w:color="BECAFF"/>
              <w:bottom w:val="single" w:sz="24" w:space="0" w:color="BECAFF"/>
              <w:right w:val="single" w:sz="8" w:space="0" w:color="BECAFF"/>
            </w:tcBorders>
            <w:shd w:val="clear" w:color="auto" w:fill="BBE0E3"/>
            <w:tcMar>
              <w:top w:w="20" w:type="dxa"/>
              <w:left w:w="20" w:type="dxa"/>
              <w:bottom w:w="0" w:type="dxa"/>
              <w:right w:w="20" w:type="dxa"/>
            </w:tcMar>
            <w:vAlign w:val="bottom"/>
          </w:tcPr>
          <w:p w14:paraId="78726B22" w14:textId="77777777" w:rsidR="001E42F9" w:rsidRPr="00824ACD" w:rsidRDefault="001E42F9" w:rsidP="00895606">
            <w:pPr>
              <w:ind w:right="70"/>
              <w:textAlignment w:val="bottom"/>
              <w:rPr>
                <w:rFonts w:ascii="Cambria" w:hAnsi="Cambria" w:cs="Times New Roman"/>
                <w:sz w:val="22"/>
                <w:szCs w:val="36"/>
              </w:rPr>
            </w:pPr>
            <w:r w:rsidRPr="00824ACD">
              <w:rPr>
                <w:rFonts w:ascii="Cambria" w:eastAsia="ヒラギノ明朝 ProN W3" w:hAnsi="Cambria" w:cs="ヒラギノ明朝 ProN W3"/>
                <w:b/>
                <w:bCs/>
                <w:color w:val="000000"/>
                <w:kern w:val="24"/>
                <w:sz w:val="22"/>
                <w:szCs w:val="36"/>
              </w:rPr>
              <w:t>Induced price change (%)</w:t>
            </w:r>
          </w:p>
        </w:tc>
      </w:tr>
      <w:tr w:rsidR="001E42F9" w:rsidRPr="00824ACD" w14:paraId="7293E157" w14:textId="77777777">
        <w:trPr>
          <w:trHeight w:val="266"/>
        </w:trPr>
        <w:tc>
          <w:tcPr>
            <w:tcW w:w="3170"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003972FD" w14:textId="47B17D96" w:rsidR="001E42F9" w:rsidRPr="00824ACD" w:rsidRDefault="001E42F9" w:rsidP="00BE5D6C">
            <w:pPr>
              <w:ind w:right="70"/>
              <w:textAlignment w:val="bottom"/>
              <w:rPr>
                <w:rFonts w:ascii="Cambria" w:hAnsi="Cambria" w:cs="Times New Roman"/>
                <w:sz w:val="22"/>
                <w:szCs w:val="36"/>
              </w:rPr>
            </w:pPr>
            <w:r w:rsidRPr="00824ACD">
              <w:rPr>
                <w:rFonts w:ascii="Cambria" w:eastAsia="ヒラギノ明朝 ProN W3" w:hAnsi="Cambria" w:cs="ヒラギノ明朝 ProN W3"/>
                <w:color w:val="000000"/>
                <w:kern w:val="24"/>
                <w:sz w:val="22"/>
                <w:szCs w:val="36"/>
              </w:rPr>
              <w:t xml:space="preserve">Scenario 1: low (0.3) </w:t>
            </w:r>
            <w:r w:rsidR="00DD426D">
              <w:rPr>
                <w:rFonts w:ascii="Cambria" w:eastAsia="ヒラギノ明朝 ProN W3" w:hAnsi="Cambria" w:cs="ヒラギノ明朝 ProN W3"/>
                <w:color w:val="000000"/>
                <w:kern w:val="24"/>
                <w:sz w:val="22"/>
                <w:szCs w:val="36"/>
              </w:rPr>
              <w:t>market</w:t>
            </w:r>
            <w:r w:rsidRPr="00824ACD">
              <w:rPr>
                <w:rFonts w:ascii="Cambria" w:eastAsia="ヒラギノ明朝 ProN W3" w:hAnsi="Cambria" w:cs="ヒラギノ明朝 ProN W3"/>
                <w:color w:val="000000"/>
                <w:kern w:val="24"/>
                <w:sz w:val="22"/>
                <w:szCs w:val="36"/>
              </w:rPr>
              <w:t xml:space="preserve"> A</w:t>
            </w:r>
          </w:p>
        </w:tc>
        <w:tc>
          <w:tcPr>
            <w:tcW w:w="1260"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36FD0DE8" w14:textId="77777777" w:rsidR="001E42F9" w:rsidRPr="00824ACD" w:rsidRDefault="001E42F9" w:rsidP="00895606">
            <w:pPr>
              <w:ind w:right="70"/>
              <w:jc w:val="right"/>
              <w:textAlignment w:val="bottom"/>
              <w:rPr>
                <w:rFonts w:ascii="Cambria" w:hAnsi="Cambria" w:cs="Times New Roman"/>
                <w:sz w:val="22"/>
                <w:szCs w:val="36"/>
              </w:rPr>
            </w:pPr>
            <w:r w:rsidRPr="00824ACD">
              <w:rPr>
                <w:rFonts w:ascii="Cambria" w:eastAsia="ヒラギノ明朝 ProN W3" w:hAnsi="Cambria" w:cs="ヒラギノ明朝 ProN W3"/>
                <w:color w:val="000000"/>
                <w:kern w:val="24"/>
                <w:sz w:val="22"/>
                <w:szCs w:val="36"/>
              </w:rPr>
              <w:t>15.79</w:t>
            </w:r>
          </w:p>
        </w:tc>
        <w:tc>
          <w:tcPr>
            <w:tcW w:w="1800"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250B4764" w14:textId="77777777" w:rsidR="001E42F9" w:rsidRPr="00824ACD" w:rsidRDefault="001E42F9" w:rsidP="00895606">
            <w:pPr>
              <w:ind w:right="70"/>
              <w:jc w:val="right"/>
              <w:textAlignment w:val="bottom"/>
              <w:rPr>
                <w:rFonts w:ascii="Cambria" w:hAnsi="Cambria" w:cs="Times New Roman"/>
                <w:sz w:val="22"/>
                <w:szCs w:val="36"/>
              </w:rPr>
            </w:pPr>
            <w:r w:rsidRPr="00824ACD">
              <w:rPr>
                <w:rFonts w:ascii="Cambria" w:eastAsia="ヒラギノ明朝 ProN W3" w:hAnsi="Cambria" w:cs="ヒラギノ明朝 ProN W3"/>
                <w:color w:val="000000"/>
                <w:kern w:val="24"/>
                <w:sz w:val="22"/>
                <w:szCs w:val="36"/>
              </w:rPr>
              <w:t>2604</w:t>
            </w:r>
          </w:p>
        </w:tc>
        <w:tc>
          <w:tcPr>
            <w:tcW w:w="1350"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3CBE7B7B" w14:textId="77777777" w:rsidR="001E42F9" w:rsidRPr="00824ACD" w:rsidRDefault="001E42F9" w:rsidP="00895606">
            <w:pPr>
              <w:ind w:right="70"/>
              <w:jc w:val="right"/>
              <w:textAlignment w:val="bottom"/>
              <w:rPr>
                <w:rFonts w:ascii="Cambria" w:hAnsi="Cambria" w:cs="Times New Roman"/>
                <w:sz w:val="22"/>
                <w:szCs w:val="36"/>
              </w:rPr>
            </w:pPr>
            <w:r w:rsidRPr="00824ACD">
              <w:rPr>
                <w:rFonts w:ascii="Cambria" w:eastAsia="ヒラギノ明朝 ProN W3" w:hAnsi="Cambria" w:cs="ヒラギノ明朝 ProN W3"/>
                <w:color w:val="000000"/>
                <w:kern w:val="24"/>
                <w:sz w:val="22"/>
                <w:szCs w:val="36"/>
              </w:rPr>
              <w:t>0.2%</w:t>
            </w:r>
          </w:p>
        </w:tc>
      </w:tr>
      <w:tr w:rsidR="001E42F9" w:rsidRPr="00824ACD" w14:paraId="2D8DC829" w14:textId="77777777">
        <w:trPr>
          <w:trHeight w:val="365"/>
        </w:trPr>
        <w:tc>
          <w:tcPr>
            <w:tcW w:w="3170"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2E38C7A2" w14:textId="216997A0" w:rsidR="001E42F9" w:rsidRPr="00824ACD" w:rsidRDefault="001E42F9" w:rsidP="00895606">
            <w:pPr>
              <w:ind w:right="70"/>
              <w:textAlignment w:val="bottom"/>
              <w:rPr>
                <w:rFonts w:ascii="Cambria" w:hAnsi="Cambria" w:cs="Times New Roman"/>
                <w:sz w:val="22"/>
                <w:szCs w:val="36"/>
              </w:rPr>
            </w:pPr>
            <w:r w:rsidRPr="00824ACD">
              <w:rPr>
                <w:rFonts w:ascii="Cambria" w:eastAsia="ヒラギノ明朝 ProN W3" w:hAnsi="Cambria" w:cs="ヒラギノ明朝 ProN W3"/>
                <w:color w:val="000000"/>
                <w:kern w:val="24"/>
                <w:sz w:val="22"/>
                <w:szCs w:val="36"/>
              </w:rPr>
              <w:t xml:space="preserve">Scenario 2: high (0.6) </w:t>
            </w:r>
            <w:r w:rsidR="00DD426D">
              <w:rPr>
                <w:rFonts w:ascii="Cambria" w:eastAsia="ヒラギノ明朝 ProN W3" w:hAnsi="Cambria" w:cs="ヒラギノ明朝 ProN W3"/>
                <w:color w:val="000000"/>
                <w:kern w:val="24"/>
                <w:sz w:val="22"/>
                <w:szCs w:val="36"/>
              </w:rPr>
              <w:t>market</w:t>
            </w:r>
            <w:r w:rsidR="00DD426D" w:rsidRPr="00824ACD">
              <w:rPr>
                <w:rFonts w:ascii="Cambria" w:eastAsia="ヒラギノ明朝 ProN W3" w:hAnsi="Cambria" w:cs="ヒラギノ明朝 ProN W3"/>
                <w:color w:val="000000"/>
                <w:kern w:val="24"/>
                <w:sz w:val="22"/>
                <w:szCs w:val="36"/>
              </w:rPr>
              <w:t xml:space="preserve"> A</w:t>
            </w:r>
          </w:p>
        </w:tc>
        <w:tc>
          <w:tcPr>
            <w:tcW w:w="1260"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534F6399" w14:textId="77777777" w:rsidR="001E42F9" w:rsidRPr="00824ACD" w:rsidRDefault="001E42F9" w:rsidP="00895606">
            <w:pPr>
              <w:ind w:right="70"/>
              <w:jc w:val="right"/>
              <w:textAlignment w:val="bottom"/>
              <w:rPr>
                <w:rFonts w:ascii="Cambria" w:hAnsi="Cambria" w:cs="Times New Roman"/>
                <w:sz w:val="22"/>
                <w:szCs w:val="36"/>
              </w:rPr>
            </w:pPr>
            <w:r w:rsidRPr="00824ACD">
              <w:rPr>
                <w:rFonts w:ascii="Cambria" w:eastAsia="ヒラギノ明朝 ProN W3" w:hAnsi="Cambria" w:cs="ヒラギノ明朝 ProN W3"/>
                <w:color w:val="000000"/>
                <w:kern w:val="24"/>
                <w:sz w:val="22"/>
                <w:szCs w:val="36"/>
              </w:rPr>
              <w:t>31.58</w:t>
            </w:r>
          </w:p>
        </w:tc>
        <w:tc>
          <w:tcPr>
            <w:tcW w:w="1800"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27ACC4F1" w14:textId="77777777" w:rsidR="001E42F9" w:rsidRPr="00824ACD" w:rsidRDefault="001E42F9" w:rsidP="00895606">
            <w:pPr>
              <w:ind w:right="70"/>
              <w:jc w:val="right"/>
              <w:textAlignment w:val="bottom"/>
              <w:rPr>
                <w:rFonts w:ascii="Cambria" w:hAnsi="Cambria" w:cs="Times New Roman"/>
                <w:sz w:val="22"/>
                <w:szCs w:val="36"/>
              </w:rPr>
            </w:pPr>
            <w:r w:rsidRPr="00824ACD">
              <w:rPr>
                <w:rFonts w:ascii="Cambria" w:eastAsia="ヒラギノ明朝 ProN W3" w:hAnsi="Cambria" w:cs="ヒラギノ明朝 ProN W3"/>
                <w:color w:val="000000"/>
                <w:kern w:val="24"/>
                <w:sz w:val="22"/>
                <w:szCs w:val="36"/>
              </w:rPr>
              <w:t>3067</w:t>
            </w:r>
          </w:p>
        </w:tc>
        <w:tc>
          <w:tcPr>
            <w:tcW w:w="1350"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2A0C1BA8" w14:textId="77777777" w:rsidR="001E42F9" w:rsidRPr="00824ACD" w:rsidRDefault="001E42F9" w:rsidP="00895606">
            <w:pPr>
              <w:ind w:right="70"/>
              <w:jc w:val="right"/>
              <w:textAlignment w:val="bottom"/>
              <w:rPr>
                <w:rFonts w:ascii="Cambria" w:hAnsi="Cambria" w:cs="Times New Roman"/>
                <w:sz w:val="22"/>
                <w:szCs w:val="36"/>
              </w:rPr>
            </w:pPr>
            <w:r w:rsidRPr="00824ACD">
              <w:rPr>
                <w:rFonts w:ascii="Cambria" w:eastAsia="ヒラギノ明朝 ProN W3" w:hAnsi="Cambria" w:cs="ヒラギノ明朝 ProN W3"/>
                <w:color w:val="000000"/>
                <w:kern w:val="24"/>
                <w:sz w:val="22"/>
                <w:szCs w:val="36"/>
              </w:rPr>
              <w:t>18.0%</w:t>
            </w:r>
          </w:p>
        </w:tc>
      </w:tr>
      <w:tr w:rsidR="001E42F9" w:rsidRPr="00824ACD" w14:paraId="6E32E493" w14:textId="77777777">
        <w:trPr>
          <w:trHeight w:val="365"/>
        </w:trPr>
        <w:tc>
          <w:tcPr>
            <w:tcW w:w="3170"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3344955A" w14:textId="4675605A" w:rsidR="001E42F9" w:rsidRPr="00824ACD" w:rsidRDefault="001E42F9" w:rsidP="00DD426D">
            <w:pPr>
              <w:ind w:right="70"/>
              <w:textAlignment w:val="bottom"/>
              <w:rPr>
                <w:rFonts w:ascii="Cambria" w:hAnsi="Cambria" w:cs="Times New Roman"/>
                <w:sz w:val="22"/>
                <w:szCs w:val="36"/>
              </w:rPr>
            </w:pPr>
            <w:r w:rsidRPr="00824ACD">
              <w:rPr>
                <w:rFonts w:ascii="Cambria" w:eastAsia="ヒラギノ明朝 ProN W3" w:hAnsi="Cambria" w:cs="ヒラギノ明朝 ProN W3"/>
                <w:color w:val="000000"/>
                <w:kern w:val="24"/>
                <w:sz w:val="22"/>
                <w:szCs w:val="36"/>
              </w:rPr>
              <w:t xml:space="preserve">Scenario 3: low (0.3) </w:t>
            </w:r>
            <w:r w:rsidR="00DD426D">
              <w:rPr>
                <w:rFonts w:ascii="Cambria" w:eastAsia="ヒラギノ明朝 ProN W3" w:hAnsi="Cambria" w:cs="ヒラギノ明朝 ProN W3"/>
                <w:color w:val="000000"/>
                <w:kern w:val="24"/>
                <w:sz w:val="22"/>
                <w:szCs w:val="36"/>
              </w:rPr>
              <w:t>market</w:t>
            </w:r>
            <w:r w:rsidRPr="00824ACD">
              <w:rPr>
                <w:rFonts w:ascii="Cambria" w:eastAsia="ヒラギノ明朝 ProN W3" w:hAnsi="Cambria" w:cs="ヒラギノ明朝 ProN W3"/>
                <w:color w:val="000000"/>
                <w:kern w:val="24"/>
                <w:sz w:val="22"/>
                <w:szCs w:val="36"/>
              </w:rPr>
              <w:t xml:space="preserve"> B</w:t>
            </w:r>
          </w:p>
        </w:tc>
        <w:tc>
          <w:tcPr>
            <w:tcW w:w="1260"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692269F8" w14:textId="77777777" w:rsidR="001E42F9" w:rsidRPr="00824ACD" w:rsidRDefault="001E42F9" w:rsidP="00895606">
            <w:pPr>
              <w:ind w:right="70"/>
              <w:jc w:val="right"/>
              <w:textAlignment w:val="bottom"/>
              <w:rPr>
                <w:rFonts w:ascii="Cambria" w:hAnsi="Cambria" w:cs="Times New Roman"/>
                <w:sz w:val="22"/>
                <w:szCs w:val="36"/>
              </w:rPr>
            </w:pPr>
            <w:r w:rsidRPr="00824ACD">
              <w:rPr>
                <w:rFonts w:ascii="Cambria" w:eastAsia="ヒラギノ明朝 ProN W3" w:hAnsi="Cambria" w:cs="ヒラギノ明朝 ProN W3"/>
                <w:color w:val="000000"/>
                <w:kern w:val="24"/>
                <w:sz w:val="22"/>
                <w:szCs w:val="36"/>
              </w:rPr>
              <w:t>31.58</w:t>
            </w:r>
          </w:p>
        </w:tc>
        <w:tc>
          <w:tcPr>
            <w:tcW w:w="1800"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68484BD9" w14:textId="77777777" w:rsidR="001E42F9" w:rsidRPr="00824ACD" w:rsidRDefault="001E42F9" w:rsidP="00895606">
            <w:pPr>
              <w:ind w:right="70"/>
              <w:jc w:val="right"/>
              <w:textAlignment w:val="bottom"/>
              <w:rPr>
                <w:rFonts w:ascii="Cambria" w:hAnsi="Cambria" w:cs="Times New Roman"/>
                <w:sz w:val="22"/>
                <w:szCs w:val="36"/>
              </w:rPr>
            </w:pPr>
            <w:r w:rsidRPr="00824ACD">
              <w:rPr>
                <w:rFonts w:ascii="Cambria" w:eastAsia="ヒラギノ明朝 ProN W3" w:hAnsi="Cambria" w:cs="ヒラギノ明朝 ProN W3"/>
                <w:color w:val="000000"/>
                <w:kern w:val="24"/>
                <w:sz w:val="22"/>
                <w:szCs w:val="36"/>
              </w:rPr>
              <w:t>3067</w:t>
            </w:r>
          </w:p>
        </w:tc>
        <w:tc>
          <w:tcPr>
            <w:tcW w:w="1350" w:type="dxa"/>
            <w:tcBorders>
              <w:top w:val="single" w:sz="8" w:space="0" w:color="BECAFF"/>
              <w:left w:val="single" w:sz="8" w:space="0" w:color="BECAFF"/>
              <w:bottom w:val="single" w:sz="8" w:space="0" w:color="BECAFF"/>
              <w:right w:val="single" w:sz="8" w:space="0" w:color="BECAFF"/>
            </w:tcBorders>
            <w:shd w:val="clear" w:color="auto" w:fill="F3F9FA"/>
            <w:tcMar>
              <w:top w:w="20" w:type="dxa"/>
              <w:left w:w="20" w:type="dxa"/>
              <w:bottom w:w="0" w:type="dxa"/>
              <w:right w:w="20" w:type="dxa"/>
            </w:tcMar>
            <w:vAlign w:val="bottom"/>
          </w:tcPr>
          <w:p w14:paraId="3892AE3B" w14:textId="77777777" w:rsidR="001E42F9" w:rsidRPr="00824ACD" w:rsidRDefault="001E42F9" w:rsidP="00895606">
            <w:pPr>
              <w:ind w:right="70"/>
              <w:jc w:val="right"/>
              <w:textAlignment w:val="bottom"/>
              <w:rPr>
                <w:rFonts w:ascii="Cambria" w:hAnsi="Cambria" w:cs="Times New Roman"/>
                <w:sz w:val="22"/>
                <w:szCs w:val="36"/>
              </w:rPr>
            </w:pPr>
            <w:r w:rsidRPr="00824ACD">
              <w:rPr>
                <w:rFonts w:ascii="Cambria" w:eastAsia="ヒラギノ明朝 ProN W3" w:hAnsi="Cambria" w:cs="ヒラギノ明朝 ProN W3"/>
                <w:color w:val="000000"/>
                <w:kern w:val="24"/>
                <w:sz w:val="22"/>
                <w:szCs w:val="36"/>
              </w:rPr>
              <w:t>18.0%</w:t>
            </w:r>
          </w:p>
        </w:tc>
      </w:tr>
      <w:tr w:rsidR="001E42F9" w:rsidRPr="00824ACD" w14:paraId="141EB096" w14:textId="77777777">
        <w:trPr>
          <w:trHeight w:val="374"/>
        </w:trPr>
        <w:tc>
          <w:tcPr>
            <w:tcW w:w="3170"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3177BEC2" w14:textId="78BDDD93" w:rsidR="001E42F9" w:rsidRPr="00824ACD" w:rsidRDefault="001E42F9" w:rsidP="00DD426D">
            <w:pPr>
              <w:ind w:right="70"/>
              <w:textAlignment w:val="bottom"/>
              <w:rPr>
                <w:rFonts w:ascii="Cambria" w:hAnsi="Cambria" w:cs="Times New Roman"/>
                <w:sz w:val="22"/>
                <w:szCs w:val="36"/>
              </w:rPr>
            </w:pPr>
            <w:r w:rsidRPr="00824ACD">
              <w:rPr>
                <w:rFonts w:ascii="Cambria" w:eastAsia="ヒラギノ明朝 ProN W3" w:hAnsi="Cambria" w:cs="ヒラギノ明朝 ProN W3"/>
                <w:color w:val="000000"/>
                <w:kern w:val="24"/>
                <w:sz w:val="22"/>
                <w:szCs w:val="36"/>
              </w:rPr>
              <w:t xml:space="preserve">Scenario 4: high (0.6) </w:t>
            </w:r>
            <w:r w:rsidR="00DD426D">
              <w:rPr>
                <w:rFonts w:ascii="Cambria" w:eastAsia="ヒラギノ明朝 ProN W3" w:hAnsi="Cambria" w:cs="ヒラギノ明朝 ProN W3"/>
                <w:color w:val="000000"/>
                <w:kern w:val="24"/>
                <w:sz w:val="22"/>
                <w:szCs w:val="36"/>
              </w:rPr>
              <w:t>market</w:t>
            </w:r>
            <w:r w:rsidR="00BE5D6C" w:rsidRPr="00824ACD">
              <w:rPr>
                <w:rFonts w:ascii="Cambria" w:eastAsia="ヒラギノ明朝 ProN W3" w:hAnsi="Cambria" w:cs="ヒラギノ明朝 ProN W3"/>
                <w:color w:val="000000"/>
                <w:kern w:val="24"/>
                <w:sz w:val="22"/>
                <w:szCs w:val="36"/>
              </w:rPr>
              <w:t xml:space="preserve"> </w:t>
            </w:r>
            <w:r w:rsidRPr="00824ACD">
              <w:rPr>
                <w:rFonts w:ascii="Cambria" w:eastAsia="ヒラギノ明朝 ProN W3" w:hAnsi="Cambria" w:cs="ヒラギノ明朝 ProN W3"/>
                <w:color w:val="000000"/>
                <w:kern w:val="24"/>
                <w:sz w:val="22"/>
                <w:szCs w:val="36"/>
              </w:rPr>
              <w:t>B</w:t>
            </w:r>
          </w:p>
        </w:tc>
        <w:tc>
          <w:tcPr>
            <w:tcW w:w="1260"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59DDECEB" w14:textId="77777777" w:rsidR="001E42F9" w:rsidRPr="00824ACD" w:rsidRDefault="001E42F9" w:rsidP="00895606">
            <w:pPr>
              <w:ind w:right="70"/>
              <w:jc w:val="right"/>
              <w:textAlignment w:val="bottom"/>
              <w:rPr>
                <w:rFonts w:ascii="Cambria" w:hAnsi="Cambria" w:cs="Times New Roman"/>
                <w:sz w:val="22"/>
                <w:szCs w:val="36"/>
              </w:rPr>
            </w:pPr>
            <w:r w:rsidRPr="00824ACD">
              <w:rPr>
                <w:rFonts w:ascii="Cambria" w:eastAsia="ヒラギノ明朝 ProN W3" w:hAnsi="Cambria" w:cs="ヒラギノ明朝 ProN W3"/>
                <w:color w:val="000000"/>
                <w:kern w:val="24"/>
                <w:sz w:val="22"/>
                <w:szCs w:val="36"/>
              </w:rPr>
              <w:t>63.16</w:t>
            </w:r>
          </w:p>
        </w:tc>
        <w:tc>
          <w:tcPr>
            <w:tcW w:w="1800"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31D6E869" w14:textId="77777777" w:rsidR="001E42F9" w:rsidRPr="00824ACD" w:rsidRDefault="001E42F9" w:rsidP="00895606">
            <w:pPr>
              <w:ind w:right="70"/>
              <w:jc w:val="right"/>
              <w:textAlignment w:val="bottom"/>
              <w:rPr>
                <w:rFonts w:ascii="Cambria" w:hAnsi="Cambria" w:cs="Times New Roman"/>
                <w:sz w:val="22"/>
                <w:szCs w:val="36"/>
              </w:rPr>
            </w:pPr>
            <w:r w:rsidRPr="00824ACD">
              <w:rPr>
                <w:rFonts w:ascii="Cambria" w:eastAsia="ヒラギノ明朝 ProN W3" w:hAnsi="Cambria" w:cs="ヒラギノ明朝 ProN W3"/>
                <w:color w:val="000000"/>
                <w:kern w:val="24"/>
                <w:sz w:val="22"/>
                <w:szCs w:val="36"/>
              </w:rPr>
              <w:t>3550</w:t>
            </w:r>
          </w:p>
        </w:tc>
        <w:tc>
          <w:tcPr>
            <w:tcW w:w="1350" w:type="dxa"/>
            <w:tcBorders>
              <w:top w:val="single" w:sz="8" w:space="0" w:color="BECAFF"/>
              <w:left w:val="single" w:sz="8" w:space="0" w:color="BECAFF"/>
              <w:bottom w:val="single" w:sz="8" w:space="0" w:color="BECAFF"/>
              <w:right w:val="single" w:sz="8" w:space="0" w:color="BECAFF"/>
            </w:tcBorders>
            <w:shd w:val="clear" w:color="auto" w:fill="E7F3F4"/>
            <w:tcMar>
              <w:top w:w="20" w:type="dxa"/>
              <w:left w:w="20" w:type="dxa"/>
              <w:bottom w:w="0" w:type="dxa"/>
              <w:right w:w="20" w:type="dxa"/>
            </w:tcMar>
            <w:vAlign w:val="bottom"/>
          </w:tcPr>
          <w:p w14:paraId="1C9ED359" w14:textId="77777777" w:rsidR="001E42F9" w:rsidRPr="00824ACD" w:rsidRDefault="001E42F9" w:rsidP="00895606">
            <w:pPr>
              <w:ind w:right="70"/>
              <w:jc w:val="right"/>
              <w:textAlignment w:val="bottom"/>
              <w:rPr>
                <w:rFonts w:ascii="Cambria" w:hAnsi="Cambria" w:cs="Times New Roman"/>
                <w:sz w:val="22"/>
                <w:szCs w:val="36"/>
              </w:rPr>
            </w:pPr>
            <w:r w:rsidRPr="00824ACD">
              <w:rPr>
                <w:rFonts w:ascii="Cambria" w:eastAsia="ヒラギノ明朝 ProN W3" w:hAnsi="Cambria" w:cs="ヒラギノ明朝 ProN W3"/>
                <w:color w:val="000000"/>
                <w:kern w:val="24"/>
                <w:sz w:val="22"/>
                <w:szCs w:val="36"/>
              </w:rPr>
              <w:t>36.5%</w:t>
            </w:r>
          </w:p>
        </w:tc>
      </w:tr>
    </w:tbl>
    <w:p w14:paraId="0FA45933" w14:textId="77777777" w:rsidR="00507300" w:rsidRDefault="00507300" w:rsidP="001E42F9"/>
    <w:p w14:paraId="7DABE0BB" w14:textId="60222390" w:rsidR="00BE5D6C" w:rsidRDefault="00BE5D6C" w:rsidP="001E42F9">
      <w:r>
        <w:t xml:space="preserve">Because prices rise significantly with the higher distribution </w:t>
      </w:r>
      <w:r w:rsidR="00C35ABC">
        <w:t>in market</w:t>
      </w:r>
      <w:r>
        <w:t xml:space="preserve"> B, analysts may want to consider supplying some cash and some food, or depending on how quickly traders can restock, may want to consider distributing smaller amount of cash more frequently (i.e., rather than distribute 200,000 every three months, distribute 100,000 every six weeks, which could allow traders to restock without having to </w:t>
      </w:r>
      <w:r w:rsidR="00FF56F7">
        <w:t xml:space="preserve">engage in </w:t>
      </w:r>
      <w:r>
        <w:t>addition</w:t>
      </w:r>
      <w:r w:rsidR="00FF56F7">
        <w:t>, expensive methods to increase supply for a short-burst of increased demand).</w:t>
      </w:r>
    </w:p>
    <w:p w14:paraId="19A07730" w14:textId="2230E2C8" w:rsidR="001E42F9" w:rsidRDefault="001E42F9" w:rsidP="001E42F9"/>
    <w:p w14:paraId="47B9A6D9" w14:textId="6EB0CDA2" w:rsidR="00D757C3" w:rsidRPr="00D757C3" w:rsidRDefault="00D757C3" w:rsidP="001E42F9">
      <w:pPr>
        <w:rPr>
          <w:rFonts w:ascii="Cambria" w:eastAsia="Cambria" w:hAnsi="Cambria" w:cs="Times New Roman"/>
        </w:rPr>
      </w:pPr>
      <w:r>
        <w:rPr>
          <w:rFonts w:ascii="Cambria" w:eastAsia="Cambria" w:hAnsi="Cambria" w:cs="Times New Roman"/>
        </w:rPr>
        <w:t>These results turn, in part, on the size of the elasticity of demand. Yet, reliable estimates of the income elasticity of demand for staple products may not be available; in this example, the elasticities are quite high, suggesting that households will spend large portions of transfers on a single commodity. In a later example, we use the marginal propensity to consume as an alternative to the income elasticity of demand.</w:t>
      </w:r>
    </w:p>
    <w:p w14:paraId="2CB21AC4" w14:textId="77777777" w:rsidR="00D757C3" w:rsidRDefault="00D757C3" w:rsidP="001E42F9"/>
    <w:p w14:paraId="3C092A67" w14:textId="71E7DE45" w:rsidR="001E42F9" w:rsidRDefault="001E42F9" w:rsidP="001E42F9">
      <w:r>
        <w:rPr>
          <w:rFonts w:ascii="Cambria" w:eastAsia="Cambria" w:hAnsi="Cambria" w:cs="Times New Roman"/>
        </w:rPr>
        <w:t xml:space="preserve">Establish through interviews with traders currently serving the market and key informants (e.g., transporters, bankers, government officials, importers) how much untapped capacity exists to deliver more food at current costs (of credit, transport, staffing, and food procurement in source markets), taking into consideration the possibility of new market entrants if there is added cash demand. The greater </w:t>
      </w:r>
      <w:r w:rsidR="0005254B">
        <w:rPr>
          <w:rFonts w:ascii="Cambria" w:eastAsia="Cambria" w:hAnsi="Cambria" w:cs="Times New Roman"/>
        </w:rPr>
        <w:t xml:space="preserve">the </w:t>
      </w:r>
      <w:r>
        <w:rPr>
          <w:rFonts w:ascii="Cambria" w:eastAsia="Cambria" w:hAnsi="Cambria" w:cs="Times New Roman"/>
        </w:rPr>
        <w:t xml:space="preserve">untapped capacity, the greater </w:t>
      </w:r>
      <w:r w:rsidR="0005254B">
        <w:rPr>
          <w:rFonts w:ascii="Cambria" w:eastAsia="Cambria" w:hAnsi="Cambria" w:cs="Times New Roman"/>
        </w:rPr>
        <w:t xml:space="preserve">is </w:t>
      </w:r>
      <w:r>
        <w:rPr>
          <w:rFonts w:ascii="Cambria" w:eastAsia="Cambria" w:hAnsi="Cambria" w:cs="Times New Roman"/>
        </w:rPr>
        <w:t>the space for cash-based response. If local market price series are strongly, positively correlated (historically and recently) with global market and import parity price series, the lower the likelihood that increased local demand will bid up prices significantly.</w:t>
      </w:r>
    </w:p>
    <w:p w14:paraId="36E3878F" w14:textId="77777777" w:rsidR="001E42F9" w:rsidRPr="00C342CC" w:rsidRDefault="001E42F9" w:rsidP="001E42F9"/>
    <w:p w14:paraId="51D44A65" w14:textId="7B6ED5B6" w:rsidR="001E42F9" w:rsidRPr="003A0606" w:rsidRDefault="003A0606" w:rsidP="001E42F9">
      <w:pPr>
        <w:rPr>
          <w:i/>
          <w:u w:val="single"/>
        </w:rPr>
      </w:pPr>
      <w:r w:rsidRPr="003A0606">
        <w:rPr>
          <w:i/>
          <w:u w:val="single"/>
        </w:rPr>
        <w:t>Limitations of the analytic</w:t>
      </w:r>
    </w:p>
    <w:p w14:paraId="5836EF8A" w14:textId="02C8B9AA" w:rsidR="001E42F9" w:rsidRPr="00B60E60" w:rsidRDefault="001E42F9" w:rsidP="001E42F9">
      <w:pPr>
        <w:rPr>
          <w:b/>
        </w:rPr>
      </w:pPr>
      <w:r w:rsidRPr="00B60E60">
        <w:t>Gathering information</w:t>
      </w:r>
      <w:r w:rsidR="0005254B">
        <w:t xml:space="preserve"> about supplier responsiveness</w:t>
      </w:r>
      <w:r w:rsidRPr="00B60E60">
        <w:t xml:space="preserve"> can be time intensive and difficult. </w:t>
      </w:r>
      <w:r>
        <w:t xml:space="preserve">The costs of commerce can be subtle and related </w:t>
      </w:r>
      <w:r w:rsidR="0005254B">
        <w:t xml:space="preserve">either positively or negatively </w:t>
      </w:r>
      <w:r>
        <w:t xml:space="preserve">to a range of local or national government policies. Not only do some national governments sometimes employ protectionist policies that can impede food imports (or food exports from surplus zones or neighboring countries), but some local governments (or non-governmental authorities) impose unofficial policies (e.g., road tolls, taxation, security costs) that add to the costs of commerce, slow trade, or both. </w:t>
      </w:r>
    </w:p>
    <w:p w14:paraId="4E905BB8" w14:textId="77777777" w:rsidR="001E42F9" w:rsidRDefault="001E42F9" w:rsidP="001E42F9">
      <w:pPr>
        <w:pStyle w:val="TOC2"/>
      </w:pPr>
    </w:p>
    <w:p w14:paraId="42486C62" w14:textId="4D798C82" w:rsidR="001E42F9" w:rsidRPr="00CC6EF7" w:rsidRDefault="00CC6EF7" w:rsidP="00CC6EF7">
      <w:r>
        <w:t>To address some of these limitations, c</w:t>
      </w:r>
      <w:r w:rsidR="001E42F9">
        <w:t>learly state the assumptions in your model and make supportable claims. Avoid false precision</w:t>
      </w:r>
      <w:r w:rsidR="007B65E4">
        <w:t>.</w:t>
      </w:r>
      <w:r>
        <w:t xml:space="preserve"> </w:t>
      </w:r>
      <w:r w:rsidR="001E42F9" w:rsidRPr="00CC6EF7">
        <w:rPr>
          <w:rFonts w:ascii="Cambria" w:eastAsia="Cambria" w:hAnsi="Cambria" w:cs="Times New Roman"/>
        </w:rPr>
        <w:t xml:space="preserve">If there is not time available to estimate local marginal cost curves, another approach is to canvas local experts to get best guesstimates of the inverse price elasticity of supply, i.e., the percentage increase in price associated </w:t>
      </w:r>
      <w:r w:rsidR="001E42F9" w:rsidRPr="00CC6EF7">
        <w:rPr>
          <w:rFonts w:ascii="Cambria" w:eastAsia="Cambria" w:hAnsi="Cambria" w:cs="Times New Roman"/>
        </w:rPr>
        <w:t xml:space="preserve">with a one percent increase in demand in the local market. </w:t>
      </w:r>
      <w:r w:rsidR="001E42F9" w:rsidRPr="00CC6EF7" w:rsidDel="002E1416">
        <w:rPr>
          <w:rFonts w:ascii="Cambria" w:eastAsia="Cambria" w:hAnsi="Cambria" w:cs="Times New Roman"/>
        </w:rPr>
        <w:t xml:space="preserve">Multiply the percentage increase in </w:t>
      </w:r>
      <w:r w:rsidR="001E42F9" w:rsidRPr="00CC6EF7">
        <w:rPr>
          <w:rFonts w:ascii="Cambria" w:eastAsia="Cambria" w:hAnsi="Cambria" w:cs="Times New Roman"/>
        </w:rPr>
        <w:t>demand</w:t>
      </w:r>
      <w:r w:rsidR="001E42F9" w:rsidRPr="00CC6EF7" w:rsidDel="002E1416">
        <w:rPr>
          <w:rFonts w:ascii="Cambria" w:eastAsia="Cambria" w:hAnsi="Cambria" w:cs="Times New Roman"/>
        </w:rPr>
        <w:t xml:space="preserve"> (ratio of increase in </w:t>
      </w:r>
      <w:r w:rsidR="001E42F9" w:rsidRPr="00CC6EF7">
        <w:rPr>
          <w:rFonts w:ascii="Cambria" w:eastAsia="Cambria" w:hAnsi="Cambria" w:cs="Times New Roman"/>
        </w:rPr>
        <w:t>demand</w:t>
      </w:r>
      <w:r w:rsidR="001E42F9" w:rsidRPr="00CC6EF7" w:rsidDel="002E1416">
        <w:rPr>
          <w:rFonts w:ascii="Cambria" w:eastAsia="Cambria" w:hAnsi="Cambria" w:cs="Times New Roman"/>
        </w:rPr>
        <w:t xml:space="preserve"> divided by total initial </w:t>
      </w:r>
      <w:r w:rsidR="001E42F9" w:rsidRPr="00CC6EF7">
        <w:rPr>
          <w:rFonts w:ascii="Cambria" w:eastAsia="Cambria" w:hAnsi="Cambria" w:cs="Times New Roman"/>
        </w:rPr>
        <w:t>market demand</w:t>
      </w:r>
      <w:r w:rsidR="001E42F9" w:rsidRPr="00CC6EF7" w:rsidDel="002E1416">
        <w:rPr>
          <w:rFonts w:ascii="Cambria" w:eastAsia="Cambria" w:hAnsi="Cambria" w:cs="Times New Roman"/>
        </w:rPr>
        <w:t xml:space="preserve">) </w:t>
      </w:r>
      <w:r w:rsidR="007B65E4" w:rsidRPr="00CC6EF7">
        <w:rPr>
          <w:rFonts w:ascii="Cambria" w:eastAsia="Cambria" w:hAnsi="Cambria" w:cs="Times New Roman"/>
        </w:rPr>
        <w:t>by</w:t>
      </w:r>
      <w:r w:rsidR="007B65E4" w:rsidRPr="00CC6EF7" w:rsidDel="002E1416">
        <w:rPr>
          <w:rFonts w:ascii="Cambria" w:eastAsia="Cambria" w:hAnsi="Cambria" w:cs="Times New Roman"/>
        </w:rPr>
        <w:t xml:space="preserve"> </w:t>
      </w:r>
      <w:r w:rsidR="001E42F9" w:rsidRPr="00CC6EF7" w:rsidDel="002E1416">
        <w:rPr>
          <w:rFonts w:ascii="Cambria" w:eastAsia="Cambria" w:hAnsi="Cambria" w:cs="Times New Roman"/>
        </w:rPr>
        <w:t>the inv</w:t>
      </w:r>
      <w:r w:rsidR="00B9375A" w:rsidRPr="00CC6EF7">
        <w:rPr>
          <w:rFonts w:ascii="Cambria" w:eastAsia="Cambria" w:hAnsi="Cambria" w:cs="Times New Roman"/>
        </w:rPr>
        <w:t>erse price elasticity of supply</w:t>
      </w:r>
      <w:r w:rsidR="001E42F9" w:rsidRPr="00CC6EF7" w:rsidDel="002E1416">
        <w:rPr>
          <w:rFonts w:ascii="Cambria" w:eastAsia="Cambria" w:hAnsi="Cambria" w:cs="Times New Roman"/>
        </w:rPr>
        <w:t xml:space="preserve"> </w:t>
      </w:r>
      <w:r w:rsidR="00B9375A" w:rsidRPr="00CC6EF7">
        <w:rPr>
          <w:rFonts w:ascii="Cambria" w:eastAsia="Cambria" w:hAnsi="Cambria" w:cs="Times New Roman"/>
        </w:rPr>
        <w:t xml:space="preserve">to </w:t>
      </w:r>
      <w:r w:rsidR="001E42F9" w:rsidRPr="00CC6EF7" w:rsidDel="002E1416">
        <w:rPr>
          <w:rFonts w:ascii="Cambria" w:eastAsia="Cambria" w:hAnsi="Cambria" w:cs="Times New Roman"/>
        </w:rPr>
        <w:t>approximat</w:t>
      </w:r>
      <w:r w:rsidR="007B65E4" w:rsidRPr="00CC6EF7">
        <w:rPr>
          <w:rFonts w:ascii="Cambria" w:eastAsia="Cambria" w:hAnsi="Cambria" w:cs="Times New Roman"/>
        </w:rPr>
        <w:t>e</w:t>
      </w:r>
      <w:r w:rsidR="001E42F9" w:rsidRPr="00CC6EF7" w:rsidDel="002E1416">
        <w:rPr>
          <w:rFonts w:ascii="Cambria" w:eastAsia="Cambria" w:hAnsi="Cambria" w:cs="Times New Roman"/>
        </w:rPr>
        <w:t xml:space="preserve"> the resulting percentage increase in price. This method can be used to </w:t>
      </w:r>
      <w:r w:rsidR="00796FCA">
        <w:rPr>
          <w:rFonts w:ascii="Cambria" w:eastAsia="Cambria" w:hAnsi="Cambria" w:cs="Times New Roman"/>
        </w:rPr>
        <w:t>estima</w:t>
      </w:r>
      <w:r w:rsidR="00796FCA" w:rsidRPr="00CC6EF7" w:rsidDel="002E1416">
        <w:rPr>
          <w:rFonts w:ascii="Cambria" w:eastAsia="Cambria" w:hAnsi="Cambria" w:cs="Times New Roman"/>
        </w:rPr>
        <w:t xml:space="preserve">te </w:t>
      </w:r>
      <w:r w:rsidR="001E42F9" w:rsidRPr="00CC6EF7" w:rsidDel="002E1416">
        <w:rPr>
          <w:rFonts w:ascii="Cambria" w:eastAsia="Cambria" w:hAnsi="Cambria" w:cs="Times New Roman"/>
        </w:rPr>
        <w:t xml:space="preserve">the resulting percentage increase in price across many percentage increases in </w:t>
      </w:r>
      <w:r w:rsidR="001E42F9" w:rsidRPr="00CC6EF7">
        <w:rPr>
          <w:rFonts w:ascii="Cambria" w:eastAsia="Cambria" w:hAnsi="Cambria" w:cs="Times New Roman"/>
        </w:rPr>
        <w:t xml:space="preserve">demand due to cash transfers </w:t>
      </w:r>
      <w:r w:rsidR="001E42F9" w:rsidRPr="00CC6EF7">
        <w:rPr>
          <w:rFonts w:ascii="Cambria" w:eastAsia="Cambria" w:hAnsi="Cambria" w:cs="Times New Roman"/>
        </w:rPr>
        <w:t>or local or regional purchase actions</w:t>
      </w:r>
      <w:r w:rsidR="001E42F9" w:rsidRPr="00CC6EF7" w:rsidDel="002E1416">
        <w:rPr>
          <w:rFonts w:ascii="Cambria" w:eastAsia="Cambria" w:hAnsi="Cambria" w:cs="Times New Roman"/>
        </w:rPr>
        <w:t>. The inverse price elasticity of supply can then provide a smoothed curvilinear approximation of the supply function.</w:t>
      </w:r>
    </w:p>
    <w:p w14:paraId="6F72B2EE" w14:textId="77777777" w:rsidR="001E42F9" w:rsidRDefault="001E42F9" w:rsidP="001E42F9"/>
    <w:p w14:paraId="1E4751AB" w14:textId="0735B4C4" w:rsidR="001E42F9" w:rsidRPr="00AE35F9" w:rsidRDefault="001E42F9" w:rsidP="001E42F9">
      <w:pPr>
        <w:pStyle w:val="TOC2"/>
      </w:pPr>
      <w:r w:rsidRPr="00AE35F9">
        <w:t>Example</w:t>
      </w:r>
      <w:r w:rsidR="004720A7">
        <w:t xml:space="preserve"> 1:</w:t>
      </w:r>
      <w:r w:rsidRPr="00AE35F9">
        <w:t xml:space="preserve"> Basic Estimation of Supply Responsiveness to Demand</w:t>
      </w:r>
    </w:p>
    <w:p w14:paraId="3114D4AE" w14:textId="1BF4CE70" w:rsidR="001E42F9" w:rsidRDefault="001E42F9" w:rsidP="001E42F9">
      <w:r>
        <w:t xml:space="preserve">CARE-Bangladesh’s SHOUHARDO Maternal Child Health Program (MCHN) program targets pregnant and lactating women with children under 24 months old with a semi-monthly food aid ration. We used the MIFIRA framework to quickly assess whether markets were functioning adequately to allow a prospective substitution of cash for food-based responses for this previously identified beneficiary population. We used SHOUHARDO’s volume of food aid programming as a starting point to understand likely demand and broader market response to a prospective switch from food to cash. </w:t>
      </w:r>
    </w:p>
    <w:p w14:paraId="072FDC99" w14:textId="77777777" w:rsidR="001E42F9" w:rsidRDefault="001E42F9" w:rsidP="001E42F9"/>
    <w:p w14:paraId="522E94B3" w14:textId="77777777" w:rsidR="001E42F9" w:rsidRDefault="001E42F9" w:rsidP="001E42F9">
      <w:r>
        <w:t xml:space="preserve">Simple back-of-the-envelope computations suggest that switching from food aid deliveries to cash deliveries would make a relatively small impact on the total quantity traded in the main wholesale market in </w:t>
      </w:r>
      <w:proofErr w:type="spellStart"/>
      <w:r>
        <w:t>Sirajganj</w:t>
      </w:r>
      <w:proofErr w:type="spellEnd"/>
      <w:r>
        <w:t xml:space="preserve"> (Table 2). The same finding appears to hold true for the larger SHOUHARDO program nationwide. </w:t>
      </w:r>
      <w:r w:rsidRPr="002125F6">
        <w:t>Th</w:t>
      </w:r>
      <w:r>
        <w:t xml:space="preserve">ese calculations combined data from several readily accessible sources. The project needs assessment included a count of recipient households and the food aid ration size. The </w:t>
      </w:r>
      <w:r w:rsidRPr="00387D2D">
        <w:t>S</w:t>
      </w:r>
      <w:r>
        <w:t>HOUHARDO-</w:t>
      </w:r>
      <w:r w:rsidRPr="00387D2D">
        <w:t>MCHN</w:t>
      </w:r>
      <w:r>
        <w:t xml:space="preserve"> program distributed 12 kilograms of wheat to each of </w:t>
      </w:r>
      <w:r w:rsidRPr="00387D2D">
        <w:t>6500</w:t>
      </w:r>
      <w:r>
        <w:t xml:space="preserve"> </w:t>
      </w:r>
      <w:proofErr w:type="spellStart"/>
      <w:r>
        <w:t>Sirajganj</w:t>
      </w:r>
      <w:proofErr w:type="spellEnd"/>
      <w:r>
        <w:t xml:space="preserve"> District</w:t>
      </w:r>
      <w:r w:rsidRPr="00387D2D">
        <w:t xml:space="preserve"> recipients in June</w:t>
      </w:r>
      <w:r>
        <w:t xml:space="preserve">, for a total distribution of 78 metric tons of wheat. To compute the equivalent volume of rice demanded, if cash were to be provided, we assumed the size of the cash grant would allow for a simple one-for-one substitution of rice for wheat. This is a very conservative assumption as households will typically not purchase baskets identical to their food rations, but will consume some non-food items as well. IFPRI (2007, p.68) found that among very poor households the marginal propensity to consume (MPC) food out of an additional increment of income lies in the range 0.30-0.45 (IFPRI, 2007. p. 68). In other words, given cash transfers, only 30% - 45% of the increased income will be spent on food, on average. Again making the most conservative assumption, at the upper end of the estimated MPC range (45%), the new demand for rice would be 35.1 metric tons. </w:t>
      </w:r>
    </w:p>
    <w:p w14:paraId="600B7CEE" w14:textId="77777777" w:rsidR="001E42F9" w:rsidRDefault="001E42F9" w:rsidP="001E42F9"/>
    <w:p w14:paraId="33C49180" w14:textId="526F8958" w:rsidR="001E42F9" w:rsidRDefault="001E42F9" w:rsidP="001E42F9">
      <w:pPr>
        <w:rPr>
          <w:rFonts w:ascii="Verdana" w:hAnsi="Verdana"/>
          <w:sz w:val="20"/>
          <w:szCs w:val="20"/>
        </w:rPr>
      </w:pPr>
      <w:r>
        <w:lastRenderedPageBreak/>
        <w:t>In a brief interview, a s</w:t>
      </w:r>
      <w:r w:rsidRPr="00387D2D">
        <w:t>ingle large wholesaler in</w:t>
      </w:r>
      <w:r>
        <w:t xml:space="preserve"> </w:t>
      </w:r>
      <w:proofErr w:type="spellStart"/>
      <w:r>
        <w:t>Sirajganj</w:t>
      </w:r>
      <w:proofErr w:type="spellEnd"/>
      <w:r>
        <w:t xml:space="preserve"> City reported selling 16</w:t>
      </w:r>
      <w:r w:rsidRPr="00387D2D">
        <w:t xml:space="preserve">00 </w:t>
      </w:r>
      <w:proofErr w:type="spellStart"/>
      <w:r w:rsidRPr="00387D2D">
        <w:t>bosta</w:t>
      </w:r>
      <w:proofErr w:type="spellEnd"/>
      <w:r>
        <w:t xml:space="preserve"> </w:t>
      </w:r>
      <w:r w:rsidRPr="00387D2D">
        <w:t xml:space="preserve">of coarse rice per </w:t>
      </w:r>
      <w:r>
        <w:t>month, or 148.8 metric tons (1bosta</w:t>
      </w:r>
      <w:r>
        <w:rPr>
          <w:rFonts w:ascii="Palatino Linotype" w:hAnsi="Palatino Linotype"/>
        </w:rPr>
        <w:t>≈</w:t>
      </w:r>
      <w:r>
        <w:t xml:space="preserve"> 93 kg). This one wholesaler would need to increase his monthly sales by only 25% in order to meet the entire extra market demand for rice that would result from converting existing food aid rations to cash transfers. He was confident that he could do so</w:t>
      </w:r>
      <w:r w:rsidR="00867351">
        <w:t>,</w:t>
      </w:r>
      <w:r>
        <w:t xml:space="preserve"> but he would have to increase his price because the cost of his credit rises with the level of credit used. </w:t>
      </w:r>
      <w:r>
        <w:rPr>
          <w:szCs w:val="20"/>
        </w:rPr>
        <w:t>T</w:t>
      </w:r>
      <w:r w:rsidRPr="005C448A">
        <w:rPr>
          <w:szCs w:val="20"/>
        </w:rPr>
        <w:t>here are approximately</w:t>
      </w:r>
      <w:r>
        <w:rPr>
          <w:szCs w:val="20"/>
        </w:rPr>
        <w:t xml:space="preserve"> eight to ten </w:t>
      </w:r>
      <w:r w:rsidRPr="005C448A">
        <w:rPr>
          <w:szCs w:val="20"/>
        </w:rPr>
        <w:t>traders similar in size to th</w:t>
      </w:r>
      <w:r>
        <w:rPr>
          <w:szCs w:val="20"/>
        </w:rPr>
        <w:t>is</w:t>
      </w:r>
      <w:r w:rsidRPr="005C448A">
        <w:rPr>
          <w:szCs w:val="20"/>
        </w:rPr>
        <w:t xml:space="preserve"> large trader</w:t>
      </w:r>
      <w:r>
        <w:rPr>
          <w:szCs w:val="20"/>
        </w:rPr>
        <w:t xml:space="preserve"> in </w:t>
      </w:r>
      <w:proofErr w:type="spellStart"/>
      <w:r>
        <w:rPr>
          <w:szCs w:val="20"/>
        </w:rPr>
        <w:t>Sirajganj</w:t>
      </w:r>
      <w:proofErr w:type="spellEnd"/>
      <w:r>
        <w:rPr>
          <w:szCs w:val="20"/>
        </w:rPr>
        <w:t xml:space="preserve"> City</w:t>
      </w:r>
      <w:r w:rsidRPr="005C448A">
        <w:rPr>
          <w:szCs w:val="20"/>
        </w:rPr>
        <w:t xml:space="preserve">. </w:t>
      </w:r>
      <w:r>
        <w:rPr>
          <w:szCs w:val="20"/>
        </w:rPr>
        <w:t>In order</w:t>
      </w:r>
      <w:r w:rsidRPr="005C448A">
        <w:rPr>
          <w:szCs w:val="20"/>
        </w:rPr>
        <w:t xml:space="preserve"> to meet the increased </w:t>
      </w:r>
      <w:r>
        <w:rPr>
          <w:szCs w:val="20"/>
        </w:rPr>
        <w:t xml:space="preserve">district-wide </w:t>
      </w:r>
      <w:r w:rsidRPr="005C448A">
        <w:rPr>
          <w:szCs w:val="20"/>
        </w:rPr>
        <w:t xml:space="preserve">demand, each would have to increase </w:t>
      </w:r>
      <w:r>
        <w:rPr>
          <w:szCs w:val="20"/>
        </w:rPr>
        <w:t>throughput volumes</w:t>
      </w:r>
      <w:r w:rsidRPr="005C448A">
        <w:rPr>
          <w:szCs w:val="20"/>
        </w:rPr>
        <w:t xml:space="preserve"> by</w:t>
      </w:r>
      <w:r>
        <w:rPr>
          <w:szCs w:val="20"/>
        </w:rPr>
        <w:t xml:space="preserve"> only</w:t>
      </w:r>
      <w:r w:rsidRPr="005C448A">
        <w:rPr>
          <w:szCs w:val="20"/>
        </w:rPr>
        <w:t xml:space="preserve"> 2.5-4</w:t>
      </w:r>
      <w:r>
        <w:rPr>
          <w:szCs w:val="20"/>
        </w:rPr>
        <w:t>.0</w:t>
      </w:r>
      <w:r w:rsidRPr="005C448A">
        <w:rPr>
          <w:szCs w:val="20"/>
        </w:rPr>
        <w:t xml:space="preserve">%. Wholesale traders seemed able </w:t>
      </w:r>
      <w:r w:rsidRPr="001C696C">
        <w:rPr>
          <w:szCs w:val="20"/>
        </w:rPr>
        <w:t xml:space="preserve">to increase their volume by that percentage without incurring extra costs. </w:t>
      </w:r>
      <w:r w:rsidR="00867351">
        <w:rPr>
          <w:szCs w:val="20"/>
        </w:rPr>
        <w:t>W</w:t>
      </w:r>
      <w:r w:rsidRPr="001C696C">
        <w:rPr>
          <w:szCs w:val="20"/>
        </w:rPr>
        <w:t xml:space="preserve">e limited our analysis of wholesaler responsiveness </w:t>
      </w:r>
      <w:r>
        <w:rPr>
          <w:szCs w:val="20"/>
        </w:rPr>
        <w:t xml:space="preserve">only </w:t>
      </w:r>
      <w:r w:rsidRPr="001C696C">
        <w:rPr>
          <w:szCs w:val="20"/>
        </w:rPr>
        <w:t xml:space="preserve">to </w:t>
      </w:r>
      <w:proofErr w:type="spellStart"/>
      <w:r w:rsidRPr="001C696C">
        <w:rPr>
          <w:szCs w:val="20"/>
        </w:rPr>
        <w:t>Sirajganj</w:t>
      </w:r>
      <w:proofErr w:type="spellEnd"/>
      <w:r w:rsidRPr="001C696C">
        <w:rPr>
          <w:szCs w:val="20"/>
        </w:rPr>
        <w:t xml:space="preserve"> city. The market basin utilized by </w:t>
      </w:r>
      <w:proofErr w:type="spellStart"/>
      <w:r w:rsidRPr="001C696C">
        <w:rPr>
          <w:szCs w:val="20"/>
        </w:rPr>
        <w:t>Sirajganj</w:t>
      </w:r>
      <w:proofErr w:type="spellEnd"/>
      <w:r w:rsidRPr="001C696C">
        <w:rPr>
          <w:szCs w:val="20"/>
        </w:rPr>
        <w:t xml:space="preserve"> district recipients is certainly larger and may include wholesalers operating in other towns or districts who could also increase their supply. Finally, rice markets are generally well-integrated </w:t>
      </w:r>
      <w:r>
        <w:rPr>
          <w:szCs w:val="20"/>
        </w:rPr>
        <w:t>across</w:t>
      </w:r>
      <w:r w:rsidRPr="001C696C">
        <w:rPr>
          <w:szCs w:val="20"/>
        </w:rPr>
        <w:t xml:space="preserve"> larger Bangladeshi markets</w:t>
      </w:r>
      <w:r>
        <w:rPr>
          <w:szCs w:val="20"/>
        </w:rPr>
        <w:t xml:space="preserve">, tying the </w:t>
      </w:r>
      <w:proofErr w:type="spellStart"/>
      <w:r>
        <w:rPr>
          <w:szCs w:val="20"/>
        </w:rPr>
        <w:t>Sirajganj</w:t>
      </w:r>
      <w:proofErr w:type="spellEnd"/>
      <w:r>
        <w:rPr>
          <w:szCs w:val="20"/>
        </w:rPr>
        <w:t xml:space="preserve"> market basin to still-broader markets </w:t>
      </w:r>
      <w:r w:rsidRPr="001C696C">
        <w:rPr>
          <w:szCs w:val="20"/>
        </w:rPr>
        <w:t>(</w:t>
      </w:r>
      <w:proofErr w:type="spellStart"/>
      <w:r w:rsidRPr="001C696C">
        <w:rPr>
          <w:szCs w:val="20"/>
        </w:rPr>
        <w:t>Dorosh</w:t>
      </w:r>
      <w:proofErr w:type="spellEnd"/>
      <w:r w:rsidRPr="001C696C">
        <w:rPr>
          <w:szCs w:val="20"/>
        </w:rPr>
        <w:t xml:space="preserve"> et al. 2004)</w:t>
      </w:r>
      <w:r>
        <w:rPr>
          <w:szCs w:val="20"/>
        </w:rPr>
        <w:t>.</w:t>
      </w:r>
      <w:r w:rsidRPr="001C696C">
        <w:rPr>
          <w:szCs w:val="20"/>
        </w:rPr>
        <w:t xml:space="preserve"> </w:t>
      </w:r>
      <w:r>
        <w:rPr>
          <w:szCs w:val="20"/>
        </w:rPr>
        <w:t xml:space="preserve">Especially given the conservative assumptions used, it seems unlikely that a conversion of the </w:t>
      </w:r>
      <w:r w:rsidRPr="00387D2D">
        <w:t>S</w:t>
      </w:r>
      <w:r>
        <w:t>HOUHARDO-</w:t>
      </w:r>
      <w:r w:rsidRPr="00387D2D">
        <w:t>MCHN</w:t>
      </w:r>
      <w:r>
        <w:t xml:space="preserve"> food aid program </w:t>
      </w:r>
      <w:r>
        <w:rPr>
          <w:szCs w:val="20"/>
        </w:rPr>
        <w:t>to cash transfers would drive up rice prices in the community.</w:t>
      </w:r>
    </w:p>
    <w:p w14:paraId="170EA994" w14:textId="77777777" w:rsidR="001E42F9" w:rsidRDefault="001E42F9" w:rsidP="001E42F9"/>
    <w:p w14:paraId="29FC385A" w14:textId="0687D560" w:rsidR="001E42F9" w:rsidRPr="0052795B" w:rsidRDefault="00127000" w:rsidP="001E42F9">
      <w:pPr>
        <w:rPr>
          <w:b/>
          <w:szCs w:val="20"/>
        </w:rPr>
      </w:pPr>
      <w:r>
        <w:rPr>
          <w:b/>
          <w:szCs w:val="20"/>
        </w:rPr>
        <w:t>E</w:t>
      </w:r>
      <w:r w:rsidR="001E42F9">
        <w:rPr>
          <w:b/>
          <w:szCs w:val="20"/>
        </w:rPr>
        <w:t>sti</w:t>
      </w:r>
      <w:r w:rsidR="001E42F9" w:rsidRPr="00EA37FA">
        <w:rPr>
          <w:b/>
          <w:szCs w:val="20"/>
        </w:rPr>
        <w:t>mated increase in demand if cash replaced food aid</w:t>
      </w:r>
      <w:r w:rsidR="0052795B">
        <w:rPr>
          <w:b/>
          <w:szCs w:val="20"/>
        </w:rPr>
        <w:t xml:space="preserve"> </w:t>
      </w:r>
      <w:r w:rsidR="001E42F9" w:rsidRPr="00EA37FA">
        <w:rPr>
          <w:b/>
          <w:szCs w:val="20"/>
        </w:rPr>
        <w:t>in a community receiving food aid (</w:t>
      </w:r>
      <w:proofErr w:type="spellStart"/>
      <w:r w:rsidR="001E42F9" w:rsidRPr="00EA37FA">
        <w:rPr>
          <w:b/>
          <w:szCs w:val="20"/>
        </w:rPr>
        <w:t>Sirajganj</w:t>
      </w:r>
      <w:proofErr w:type="spellEnd"/>
      <w:r w:rsidR="001E42F9" w:rsidRPr="00EA37FA">
        <w:rPr>
          <w:b/>
          <w:szCs w:val="20"/>
        </w:rPr>
        <w:t xml:space="preserve"> district, Bangladesh)</w:t>
      </w:r>
    </w:p>
    <w:tbl>
      <w:tblPr>
        <w:tblW w:w="10268" w:type="dxa"/>
        <w:tblInd w:w="-612" w:type="dxa"/>
        <w:tblLayout w:type="fixed"/>
        <w:tblLook w:val="0000" w:firstRow="0" w:lastRow="0" w:firstColumn="0" w:lastColumn="0" w:noHBand="0" w:noVBand="0"/>
      </w:tblPr>
      <w:tblGrid>
        <w:gridCol w:w="1096"/>
        <w:gridCol w:w="916"/>
        <w:gridCol w:w="794"/>
        <w:gridCol w:w="990"/>
        <w:gridCol w:w="1170"/>
        <w:gridCol w:w="1136"/>
        <w:gridCol w:w="1097"/>
        <w:gridCol w:w="939"/>
        <w:gridCol w:w="1238"/>
        <w:gridCol w:w="892"/>
      </w:tblGrid>
      <w:tr w:rsidR="001E42F9" w:rsidRPr="00402D8B" w14:paraId="062F00B7" w14:textId="77777777">
        <w:trPr>
          <w:trHeight w:val="1900"/>
        </w:trPr>
        <w:tc>
          <w:tcPr>
            <w:tcW w:w="1096" w:type="dxa"/>
            <w:tcBorders>
              <w:top w:val="single" w:sz="4" w:space="0" w:color="auto"/>
              <w:left w:val="single" w:sz="4" w:space="0" w:color="auto"/>
              <w:bottom w:val="double" w:sz="6" w:space="0" w:color="auto"/>
              <w:right w:val="single" w:sz="4" w:space="0" w:color="auto"/>
            </w:tcBorders>
            <w:vAlign w:val="bottom"/>
          </w:tcPr>
          <w:p w14:paraId="4C0A8E77" w14:textId="77777777" w:rsidR="001E42F9" w:rsidRPr="00402D8B" w:rsidRDefault="001E42F9" w:rsidP="00895606">
            <w:pPr>
              <w:rPr>
                <w:sz w:val="20"/>
                <w:szCs w:val="20"/>
              </w:rPr>
            </w:pPr>
            <w:r w:rsidRPr="00402D8B">
              <w:rPr>
                <w:sz w:val="20"/>
                <w:szCs w:val="20"/>
              </w:rPr>
              <w:t> </w:t>
            </w:r>
          </w:p>
        </w:tc>
        <w:tc>
          <w:tcPr>
            <w:tcW w:w="916" w:type="dxa"/>
            <w:tcBorders>
              <w:top w:val="single" w:sz="8" w:space="0" w:color="auto"/>
              <w:left w:val="single" w:sz="8" w:space="0" w:color="auto"/>
              <w:bottom w:val="double" w:sz="6" w:space="0" w:color="auto"/>
              <w:right w:val="single" w:sz="8" w:space="0" w:color="auto"/>
            </w:tcBorders>
            <w:vAlign w:val="bottom"/>
          </w:tcPr>
          <w:p w14:paraId="4C0846CB" w14:textId="77777777" w:rsidR="001E42F9" w:rsidRPr="00402D8B" w:rsidRDefault="001E42F9" w:rsidP="00895606">
            <w:pPr>
              <w:rPr>
                <w:sz w:val="20"/>
                <w:szCs w:val="20"/>
              </w:rPr>
            </w:pPr>
            <w:r w:rsidRPr="00402D8B">
              <w:rPr>
                <w:sz w:val="20"/>
                <w:szCs w:val="20"/>
              </w:rPr>
              <w:t xml:space="preserve">Number of recipient </w:t>
            </w:r>
            <w:r>
              <w:rPr>
                <w:sz w:val="20"/>
                <w:szCs w:val="20"/>
              </w:rPr>
              <w:t>house-holds (</w:t>
            </w:r>
            <w:proofErr w:type="spellStart"/>
            <w:r>
              <w:rPr>
                <w:sz w:val="20"/>
                <w:szCs w:val="20"/>
              </w:rPr>
              <w:t>hh</w:t>
            </w:r>
            <w:proofErr w:type="spellEnd"/>
            <w:r>
              <w:rPr>
                <w:sz w:val="20"/>
                <w:szCs w:val="20"/>
              </w:rPr>
              <w:t>)</w:t>
            </w:r>
          </w:p>
        </w:tc>
        <w:tc>
          <w:tcPr>
            <w:tcW w:w="794" w:type="dxa"/>
            <w:tcBorders>
              <w:top w:val="single" w:sz="8" w:space="0" w:color="auto"/>
              <w:left w:val="nil"/>
              <w:bottom w:val="double" w:sz="6" w:space="0" w:color="auto"/>
              <w:right w:val="single" w:sz="8" w:space="0" w:color="auto"/>
            </w:tcBorders>
            <w:vAlign w:val="bottom"/>
          </w:tcPr>
          <w:p w14:paraId="7490B23C" w14:textId="77777777" w:rsidR="001E42F9" w:rsidRPr="00402D8B" w:rsidRDefault="001E42F9" w:rsidP="00895606">
            <w:pPr>
              <w:rPr>
                <w:sz w:val="20"/>
                <w:szCs w:val="20"/>
              </w:rPr>
            </w:pPr>
            <w:r>
              <w:rPr>
                <w:sz w:val="20"/>
                <w:szCs w:val="20"/>
              </w:rPr>
              <w:t>Grain</w:t>
            </w:r>
            <w:r w:rsidRPr="00402D8B">
              <w:rPr>
                <w:sz w:val="20"/>
                <w:szCs w:val="20"/>
              </w:rPr>
              <w:t xml:space="preserve"> given to each </w:t>
            </w:r>
            <w:proofErr w:type="spellStart"/>
            <w:r w:rsidRPr="00402D8B">
              <w:rPr>
                <w:sz w:val="20"/>
                <w:szCs w:val="20"/>
              </w:rPr>
              <w:t>hh</w:t>
            </w:r>
            <w:proofErr w:type="spellEnd"/>
            <w:r w:rsidRPr="00402D8B">
              <w:rPr>
                <w:sz w:val="20"/>
                <w:szCs w:val="20"/>
              </w:rPr>
              <w:t xml:space="preserve"> per month</w:t>
            </w:r>
            <w:r>
              <w:rPr>
                <w:sz w:val="20"/>
                <w:szCs w:val="20"/>
              </w:rPr>
              <w:t xml:space="preserve"> (kg)</w:t>
            </w:r>
          </w:p>
        </w:tc>
        <w:tc>
          <w:tcPr>
            <w:tcW w:w="990" w:type="dxa"/>
            <w:tcBorders>
              <w:top w:val="single" w:sz="8" w:space="0" w:color="auto"/>
              <w:left w:val="nil"/>
              <w:bottom w:val="double" w:sz="6" w:space="0" w:color="auto"/>
              <w:right w:val="single" w:sz="8" w:space="0" w:color="auto"/>
            </w:tcBorders>
            <w:vAlign w:val="bottom"/>
          </w:tcPr>
          <w:p w14:paraId="6E12957D" w14:textId="77777777" w:rsidR="001E42F9" w:rsidRPr="00402D8B" w:rsidRDefault="001E42F9" w:rsidP="00895606">
            <w:pPr>
              <w:rPr>
                <w:sz w:val="20"/>
                <w:szCs w:val="20"/>
              </w:rPr>
            </w:pPr>
            <w:r>
              <w:rPr>
                <w:sz w:val="20"/>
                <w:szCs w:val="20"/>
              </w:rPr>
              <w:t xml:space="preserve">Total </w:t>
            </w:r>
            <w:r w:rsidRPr="00402D8B">
              <w:rPr>
                <w:sz w:val="20"/>
                <w:szCs w:val="20"/>
              </w:rPr>
              <w:t>food</w:t>
            </w:r>
            <w:r>
              <w:rPr>
                <w:sz w:val="20"/>
                <w:szCs w:val="20"/>
              </w:rPr>
              <w:t xml:space="preserve"> aid</w:t>
            </w:r>
            <w:r w:rsidRPr="00402D8B">
              <w:rPr>
                <w:sz w:val="20"/>
                <w:szCs w:val="20"/>
              </w:rPr>
              <w:t xml:space="preserve"> </w:t>
            </w:r>
            <w:r>
              <w:rPr>
                <w:sz w:val="20"/>
                <w:szCs w:val="20"/>
              </w:rPr>
              <w:t xml:space="preserve">delivered </w:t>
            </w:r>
            <w:r w:rsidRPr="00402D8B">
              <w:rPr>
                <w:sz w:val="20"/>
                <w:szCs w:val="20"/>
              </w:rPr>
              <w:t>per month</w:t>
            </w:r>
            <w:r>
              <w:rPr>
                <w:sz w:val="20"/>
                <w:szCs w:val="20"/>
              </w:rPr>
              <w:t xml:space="preserve"> (MT)</w:t>
            </w:r>
          </w:p>
        </w:tc>
        <w:tc>
          <w:tcPr>
            <w:tcW w:w="1170" w:type="dxa"/>
            <w:tcBorders>
              <w:top w:val="single" w:sz="8" w:space="0" w:color="auto"/>
              <w:left w:val="nil"/>
              <w:bottom w:val="double" w:sz="6" w:space="0" w:color="auto"/>
              <w:right w:val="single" w:sz="8" w:space="0" w:color="auto"/>
            </w:tcBorders>
            <w:vAlign w:val="bottom"/>
          </w:tcPr>
          <w:p w14:paraId="59FDD99D" w14:textId="77777777" w:rsidR="001E42F9" w:rsidRPr="00402D8B" w:rsidRDefault="001E42F9" w:rsidP="00895606">
            <w:pPr>
              <w:rPr>
                <w:sz w:val="20"/>
                <w:szCs w:val="20"/>
              </w:rPr>
            </w:pPr>
            <w:r w:rsidRPr="00402D8B">
              <w:rPr>
                <w:sz w:val="20"/>
                <w:szCs w:val="20"/>
              </w:rPr>
              <w:t xml:space="preserve">Marginal propensity to consume </w:t>
            </w:r>
            <w:r>
              <w:rPr>
                <w:sz w:val="20"/>
                <w:szCs w:val="20"/>
              </w:rPr>
              <w:t xml:space="preserve">(MPC) </w:t>
            </w:r>
            <w:r w:rsidRPr="00402D8B">
              <w:rPr>
                <w:sz w:val="20"/>
                <w:szCs w:val="20"/>
              </w:rPr>
              <w:t>food</w:t>
            </w:r>
          </w:p>
        </w:tc>
        <w:tc>
          <w:tcPr>
            <w:tcW w:w="1136" w:type="dxa"/>
            <w:tcBorders>
              <w:top w:val="single" w:sz="8" w:space="0" w:color="auto"/>
              <w:left w:val="nil"/>
              <w:bottom w:val="double" w:sz="6" w:space="0" w:color="auto"/>
              <w:right w:val="single" w:sz="8" w:space="0" w:color="auto"/>
            </w:tcBorders>
            <w:vAlign w:val="bottom"/>
          </w:tcPr>
          <w:p w14:paraId="7A9249F4" w14:textId="77777777" w:rsidR="001E42F9" w:rsidRPr="00402D8B" w:rsidRDefault="001E42F9" w:rsidP="00895606">
            <w:pPr>
              <w:rPr>
                <w:sz w:val="20"/>
                <w:szCs w:val="20"/>
              </w:rPr>
            </w:pPr>
            <w:r w:rsidRPr="00402D8B">
              <w:rPr>
                <w:sz w:val="20"/>
                <w:szCs w:val="20"/>
              </w:rPr>
              <w:t xml:space="preserve">Demand adjusted by </w:t>
            </w:r>
            <w:r>
              <w:rPr>
                <w:sz w:val="20"/>
                <w:szCs w:val="20"/>
              </w:rPr>
              <w:t>MPC,</w:t>
            </w:r>
            <w:r w:rsidRPr="00402D8B">
              <w:rPr>
                <w:sz w:val="20"/>
                <w:szCs w:val="20"/>
              </w:rPr>
              <w:t xml:space="preserve"> per month </w:t>
            </w:r>
            <w:r>
              <w:rPr>
                <w:sz w:val="20"/>
                <w:szCs w:val="20"/>
              </w:rPr>
              <w:t>(MT)</w:t>
            </w:r>
          </w:p>
        </w:tc>
        <w:tc>
          <w:tcPr>
            <w:tcW w:w="1097" w:type="dxa"/>
            <w:tcBorders>
              <w:top w:val="single" w:sz="8" w:space="0" w:color="auto"/>
              <w:left w:val="single" w:sz="8" w:space="0" w:color="auto"/>
              <w:bottom w:val="double" w:sz="6" w:space="0" w:color="auto"/>
              <w:right w:val="single" w:sz="8" w:space="0" w:color="auto"/>
            </w:tcBorders>
            <w:vAlign w:val="bottom"/>
          </w:tcPr>
          <w:p w14:paraId="592C0163" w14:textId="77777777" w:rsidR="001E42F9" w:rsidRPr="00402D8B" w:rsidRDefault="001E42F9" w:rsidP="00895606">
            <w:pPr>
              <w:rPr>
                <w:sz w:val="20"/>
                <w:szCs w:val="20"/>
              </w:rPr>
            </w:pPr>
            <w:r w:rsidRPr="00402D8B">
              <w:rPr>
                <w:sz w:val="20"/>
                <w:szCs w:val="20"/>
              </w:rPr>
              <w:t xml:space="preserve">Monthly volume </w:t>
            </w:r>
            <w:r>
              <w:rPr>
                <w:sz w:val="20"/>
                <w:szCs w:val="20"/>
              </w:rPr>
              <w:t>of</w:t>
            </w:r>
            <w:r w:rsidRPr="00402D8B">
              <w:rPr>
                <w:sz w:val="20"/>
                <w:szCs w:val="20"/>
              </w:rPr>
              <w:t xml:space="preserve"> largest seller</w:t>
            </w:r>
            <w:r>
              <w:rPr>
                <w:sz w:val="20"/>
                <w:szCs w:val="20"/>
              </w:rPr>
              <w:t xml:space="preserve"> in </w:t>
            </w:r>
            <w:proofErr w:type="spellStart"/>
            <w:r>
              <w:rPr>
                <w:sz w:val="20"/>
                <w:szCs w:val="20"/>
              </w:rPr>
              <w:t>Sirajganj</w:t>
            </w:r>
            <w:proofErr w:type="spellEnd"/>
            <w:r>
              <w:rPr>
                <w:sz w:val="20"/>
                <w:szCs w:val="20"/>
              </w:rPr>
              <w:t xml:space="preserve"> (MT)</w:t>
            </w:r>
          </w:p>
        </w:tc>
        <w:tc>
          <w:tcPr>
            <w:tcW w:w="939" w:type="dxa"/>
            <w:tcBorders>
              <w:top w:val="single" w:sz="8" w:space="0" w:color="auto"/>
              <w:left w:val="single" w:sz="8" w:space="0" w:color="auto"/>
              <w:bottom w:val="double" w:sz="6" w:space="0" w:color="auto"/>
              <w:right w:val="single" w:sz="8" w:space="0" w:color="auto"/>
            </w:tcBorders>
            <w:vAlign w:val="bottom"/>
          </w:tcPr>
          <w:p w14:paraId="083E149A" w14:textId="77777777" w:rsidR="001E42F9" w:rsidRPr="00402D8B" w:rsidRDefault="001E42F9" w:rsidP="00895606">
            <w:pPr>
              <w:rPr>
                <w:sz w:val="20"/>
                <w:szCs w:val="20"/>
              </w:rPr>
            </w:pPr>
            <w:r>
              <w:rPr>
                <w:sz w:val="20"/>
                <w:szCs w:val="20"/>
              </w:rPr>
              <w:t>Share</w:t>
            </w:r>
            <w:r w:rsidRPr="00402D8B">
              <w:rPr>
                <w:sz w:val="20"/>
                <w:szCs w:val="20"/>
              </w:rPr>
              <w:t xml:space="preserve"> trader would have to increase his trade</w:t>
            </w:r>
            <w:r>
              <w:rPr>
                <w:sz w:val="20"/>
                <w:szCs w:val="20"/>
              </w:rPr>
              <w:t xml:space="preserve"> volume</w:t>
            </w:r>
          </w:p>
        </w:tc>
        <w:tc>
          <w:tcPr>
            <w:tcW w:w="1238" w:type="dxa"/>
            <w:tcBorders>
              <w:top w:val="single" w:sz="8" w:space="0" w:color="auto"/>
              <w:left w:val="nil"/>
              <w:bottom w:val="double" w:sz="6" w:space="0" w:color="auto"/>
              <w:right w:val="single" w:sz="8" w:space="0" w:color="auto"/>
            </w:tcBorders>
            <w:vAlign w:val="bottom"/>
          </w:tcPr>
          <w:p w14:paraId="50A8FF0F" w14:textId="77777777" w:rsidR="001E42F9" w:rsidRPr="00402D8B" w:rsidRDefault="001E42F9" w:rsidP="00895606">
            <w:pPr>
              <w:rPr>
                <w:sz w:val="20"/>
                <w:szCs w:val="20"/>
              </w:rPr>
            </w:pPr>
            <w:r w:rsidRPr="00402D8B">
              <w:rPr>
                <w:sz w:val="20"/>
                <w:szCs w:val="20"/>
              </w:rPr>
              <w:t xml:space="preserve">Estimated national imports per month </w:t>
            </w:r>
            <w:r>
              <w:rPr>
                <w:sz w:val="20"/>
                <w:szCs w:val="20"/>
              </w:rPr>
              <w:t>(MT)</w:t>
            </w:r>
          </w:p>
        </w:tc>
        <w:tc>
          <w:tcPr>
            <w:tcW w:w="892" w:type="dxa"/>
            <w:tcBorders>
              <w:top w:val="single" w:sz="8" w:space="0" w:color="auto"/>
              <w:left w:val="nil"/>
              <w:bottom w:val="double" w:sz="6" w:space="0" w:color="auto"/>
              <w:right w:val="single" w:sz="8" w:space="0" w:color="auto"/>
            </w:tcBorders>
            <w:vAlign w:val="bottom"/>
          </w:tcPr>
          <w:p w14:paraId="7E4DB53E" w14:textId="77777777" w:rsidR="001E42F9" w:rsidRPr="00402D8B" w:rsidRDefault="001E42F9" w:rsidP="00895606">
            <w:pPr>
              <w:rPr>
                <w:sz w:val="20"/>
                <w:szCs w:val="20"/>
              </w:rPr>
            </w:pPr>
            <w:r w:rsidRPr="00402D8B">
              <w:rPr>
                <w:sz w:val="20"/>
                <w:szCs w:val="20"/>
              </w:rPr>
              <w:t>New demand as a ratio of imports</w:t>
            </w:r>
          </w:p>
        </w:tc>
      </w:tr>
      <w:tr w:rsidR="001E42F9" w:rsidRPr="00402D8B" w14:paraId="1ADA5869" w14:textId="77777777">
        <w:trPr>
          <w:trHeight w:val="620"/>
        </w:trPr>
        <w:tc>
          <w:tcPr>
            <w:tcW w:w="1096" w:type="dxa"/>
            <w:tcBorders>
              <w:top w:val="nil"/>
              <w:left w:val="single" w:sz="4" w:space="0" w:color="auto"/>
              <w:bottom w:val="single" w:sz="4" w:space="0" w:color="auto"/>
              <w:right w:val="single" w:sz="4" w:space="0" w:color="auto"/>
            </w:tcBorders>
            <w:vAlign w:val="bottom"/>
          </w:tcPr>
          <w:p w14:paraId="543B2341" w14:textId="77777777" w:rsidR="001E42F9" w:rsidRPr="00402D8B" w:rsidRDefault="001E42F9" w:rsidP="00895606">
            <w:pPr>
              <w:rPr>
                <w:sz w:val="20"/>
                <w:szCs w:val="20"/>
              </w:rPr>
            </w:pPr>
            <w:proofErr w:type="spellStart"/>
            <w:r w:rsidRPr="00402D8B">
              <w:rPr>
                <w:sz w:val="20"/>
                <w:szCs w:val="20"/>
              </w:rPr>
              <w:t>Sirajganj</w:t>
            </w:r>
            <w:proofErr w:type="spellEnd"/>
            <w:r w:rsidRPr="00402D8B">
              <w:rPr>
                <w:sz w:val="20"/>
                <w:szCs w:val="20"/>
              </w:rPr>
              <w:t xml:space="preserve"> MCHN recipients</w:t>
            </w:r>
          </w:p>
        </w:tc>
        <w:tc>
          <w:tcPr>
            <w:tcW w:w="916" w:type="dxa"/>
            <w:tcBorders>
              <w:top w:val="single" w:sz="4" w:space="0" w:color="auto"/>
              <w:left w:val="single" w:sz="4" w:space="0" w:color="auto"/>
              <w:bottom w:val="nil"/>
              <w:right w:val="single" w:sz="4" w:space="0" w:color="auto"/>
            </w:tcBorders>
            <w:noWrap/>
            <w:vAlign w:val="bottom"/>
          </w:tcPr>
          <w:p w14:paraId="7BC445FB" w14:textId="77777777" w:rsidR="001E42F9" w:rsidRPr="00402D8B" w:rsidRDefault="001E42F9" w:rsidP="00895606">
            <w:pPr>
              <w:jc w:val="right"/>
              <w:rPr>
                <w:sz w:val="20"/>
                <w:szCs w:val="20"/>
              </w:rPr>
            </w:pPr>
            <w:r w:rsidRPr="00402D8B">
              <w:rPr>
                <w:sz w:val="20"/>
                <w:szCs w:val="20"/>
              </w:rPr>
              <w:t>6500</w:t>
            </w:r>
          </w:p>
        </w:tc>
        <w:tc>
          <w:tcPr>
            <w:tcW w:w="794" w:type="dxa"/>
            <w:tcBorders>
              <w:top w:val="single" w:sz="4" w:space="0" w:color="auto"/>
              <w:left w:val="single" w:sz="4" w:space="0" w:color="auto"/>
              <w:bottom w:val="nil"/>
              <w:right w:val="single" w:sz="4" w:space="0" w:color="auto"/>
            </w:tcBorders>
            <w:noWrap/>
            <w:vAlign w:val="bottom"/>
          </w:tcPr>
          <w:p w14:paraId="33BDB86D" w14:textId="77777777" w:rsidR="001E42F9" w:rsidRPr="00402D8B" w:rsidRDefault="001E42F9" w:rsidP="00895606">
            <w:pPr>
              <w:jc w:val="right"/>
              <w:rPr>
                <w:sz w:val="20"/>
                <w:szCs w:val="20"/>
              </w:rPr>
            </w:pPr>
            <w:r w:rsidRPr="00402D8B">
              <w:rPr>
                <w:sz w:val="20"/>
                <w:szCs w:val="20"/>
              </w:rPr>
              <w:t>12</w:t>
            </w:r>
          </w:p>
        </w:tc>
        <w:tc>
          <w:tcPr>
            <w:tcW w:w="990" w:type="dxa"/>
            <w:tcBorders>
              <w:top w:val="single" w:sz="4" w:space="0" w:color="auto"/>
              <w:left w:val="single" w:sz="4" w:space="0" w:color="auto"/>
              <w:bottom w:val="nil"/>
              <w:right w:val="single" w:sz="4" w:space="0" w:color="auto"/>
            </w:tcBorders>
            <w:noWrap/>
            <w:vAlign w:val="bottom"/>
          </w:tcPr>
          <w:p w14:paraId="10590C63" w14:textId="77777777" w:rsidR="001E42F9" w:rsidRPr="00402D8B" w:rsidRDefault="001E42F9" w:rsidP="00895606">
            <w:pPr>
              <w:jc w:val="right"/>
              <w:rPr>
                <w:sz w:val="20"/>
                <w:szCs w:val="20"/>
              </w:rPr>
            </w:pPr>
            <w:r>
              <w:rPr>
                <w:sz w:val="20"/>
                <w:szCs w:val="20"/>
              </w:rPr>
              <w:t>78</w:t>
            </w:r>
          </w:p>
        </w:tc>
        <w:tc>
          <w:tcPr>
            <w:tcW w:w="1170" w:type="dxa"/>
            <w:tcBorders>
              <w:top w:val="single" w:sz="4" w:space="0" w:color="auto"/>
              <w:left w:val="single" w:sz="4" w:space="0" w:color="auto"/>
              <w:bottom w:val="nil"/>
              <w:right w:val="single" w:sz="4" w:space="0" w:color="auto"/>
            </w:tcBorders>
            <w:noWrap/>
            <w:vAlign w:val="bottom"/>
          </w:tcPr>
          <w:p w14:paraId="433CDCD3" w14:textId="77777777" w:rsidR="001E42F9" w:rsidRPr="00402D8B" w:rsidRDefault="001E42F9" w:rsidP="00895606">
            <w:pPr>
              <w:jc w:val="right"/>
              <w:rPr>
                <w:sz w:val="20"/>
                <w:szCs w:val="20"/>
              </w:rPr>
            </w:pPr>
            <w:r w:rsidRPr="00402D8B">
              <w:rPr>
                <w:sz w:val="20"/>
                <w:szCs w:val="20"/>
              </w:rPr>
              <w:t>0.45</w:t>
            </w:r>
          </w:p>
        </w:tc>
        <w:tc>
          <w:tcPr>
            <w:tcW w:w="1136" w:type="dxa"/>
            <w:tcBorders>
              <w:top w:val="single" w:sz="4" w:space="0" w:color="auto"/>
              <w:left w:val="single" w:sz="4" w:space="0" w:color="auto"/>
              <w:bottom w:val="nil"/>
              <w:right w:val="single" w:sz="4" w:space="0" w:color="auto"/>
            </w:tcBorders>
            <w:noWrap/>
            <w:vAlign w:val="bottom"/>
          </w:tcPr>
          <w:p w14:paraId="10F06099" w14:textId="77777777" w:rsidR="001E42F9" w:rsidRPr="00402D8B" w:rsidRDefault="001E42F9" w:rsidP="00895606">
            <w:pPr>
              <w:jc w:val="right"/>
              <w:rPr>
                <w:sz w:val="20"/>
                <w:szCs w:val="20"/>
              </w:rPr>
            </w:pPr>
            <w:r>
              <w:rPr>
                <w:sz w:val="20"/>
                <w:szCs w:val="20"/>
              </w:rPr>
              <w:t>35.1</w:t>
            </w:r>
          </w:p>
        </w:tc>
        <w:tc>
          <w:tcPr>
            <w:tcW w:w="1097" w:type="dxa"/>
            <w:tcBorders>
              <w:top w:val="double" w:sz="6" w:space="0" w:color="auto"/>
              <w:left w:val="single" w:sz="4" w:space="0" w:color="auto"/>
              <w:bottom w:val="single" w:sz="4" w:space="0" w:color="auto"/>
              <w:right w:val="single" w:sz="4" w:space="0" w:color="auto"/>
            </w:tcBorders>
            <w:noWrap/>
            <w:vAlign w:val="bottom"/>
          </w:tcPr>
          <w:p w14:paraId="70B68E2B" w14:textId="77777777" w:rsidR="001E42F9" w:rsidRPr="00402D8B" w:rsidRDefault="001E42F9" w:rsidP="00895606">
            <w:pPr>
              <w:jc w:val="right"/>
              <w:rPr>
                <w:sz w:val="20"/>
                <w:szCs w:val="20"/>
              </w:rPr>
            </w:pPr>
            <w:r>
              <w:rPr>
                <w:sz w:val="20"/>
                <w:szCs w:val="20"/>
              </w:rPr>
              <w:t>148.8</w:t>
            </w:r>
          </w:p>
        </w:tc>
        <w:tc>
          <w:tcPr>
            <w:tcW w:w="939" w:type="dxa"/>
            <w:tcBorders>
              <w:top w:val="single" w:sz="4" w:space="0" w:color="auto"/>
              <w:left w:val="single" w:sz="4" w:space="0" w:color="auto"/>
              <w:bottom w:val="nil"/>
              <w:right w:val="nil"/>
            </w:tcBorders>
            <w:noWrap/>
            <w:vAlign w:val="bottom"/>
          </w:tcPr>
          <w:p w14:paraId="2678F77E" w14:textId="77777777" w:rsidR="001E42F9" w:rsidRPr="00402D8B" w:rsidRDefault="001E42F9" w:rsidP="00895606">
            <w:pPr>
              <w:jc w:val="right"/>
              <w:rPr>
                <w:sz w:val="20"/>
                <w:szCs w:val="20"/>
              </w:rPr>
            </w:pPr>
            <w:r w:rsidRPr="00402D8B">
              <w:rPr>
                <w:sz w:val="20"/>
                <w:szCs w:val="20"/>
              </w:rPr>
              <w:t>0.23</w:t>
            </w:r>
            <w:r>
              <w:rPr>
                <w:sz w:val="20"/>
                <w:szCs w:val="20"/>
              </w:rPr>
              <w:t>6</w:t>
            </w:r>
          </w:p>
        </w:tc>
        <w:tc>
          <w:tcPr>
            <w:tcW w:w="1238" w:type="dxa"/>
            <w:tcBorders>
              <w:top w:val="single" w:sz="4" w:space="0" w:color="auto"/>
              <w:left w:val="single" w:sz="4" w:space="0" w:color="auto"/>
              <w:bottom w:val="nil"/>
              <w:right w:val="single" w:sz="4" w:space="0" w:color="auto"/>
            </w:tcBorders>
            <w:noWrap/>
            <w:vAlign w:val="bottom"/>
          </w:tcPr>
          <w:p w14:paraId="09BB5799" w14:textId="77777777" w:rsidR="001E42F9" w:rsidRPr="00402D8B" w:rsidRDefault="001E42F9" w:rsidP="00895606">
            <w:pPr>
              <w:jc w:val="right"/>
              <w:rPr>
                <w:sz w:val="20"/>
                <w:szCs w:val="20"/>
              </w:rPr>
            </w:pPr>
            <w:r>
              <w:rPr>
                <w:sz w:val="20"/>
                <w:szCs w:val="20"/>
              </w:rPr>
              <w:t>241,667</w:t>
            </w:r>
          </w:p>
        </w:tc>
        <w:tc>
          <w:tcPr>
            <w:tcW w:w="892" w:type="dxa"/>
            <w:tcBorders>
              <w:top w:val="double" w:sz="6" w:space="0" w:color="auto"/>
              <w:left w:val="single" w:sz="4" w:space="0" w:color="auto"/>
              <w:bottom w:val="single" w:sz="4" w:space="0" w:color="auto"/>
              <w:right w:val="single" w:sz="4" w:space="0" w:color="auto"/>
            </w:tcBorders>
            <w:noWrap/>
            <w:vAlign w:val="bottom"/>
          </w:tcPr>
          <w:p w14:paraId="731C2C3F" w14:textId="77777777" w:rsidR="001E42F9" w:rsidRPr="00402D8B" w:rsidRDefault="001E42F9" w:rsidP="00895606">
            <w:pPr>
              <w:jc w:val="right"/>
              <w:rPr>
                <w:sz w:val="20"/>
                <w:szCs w:val="20"/>
              </w:rPr>
            </w:pPr>
            <w:r w:rsidRPr="00402D8B">
              <w:rPr>
                <w:sz w:val="20"/>
                <w:szCs w:val="20"/>
              </w:rPr>
              <w:t>0.0001</w:t>
            </w:r>
          </w:p>
        </w:tc>
      </w:tr>
      <w:tr w:rsidR="001E42F9" w:rsidRPr="00402D8B" w14:paraId="7CA48A1D" w14:textId="77777777">
        <w:trPr>
          <w:trHeight w:val="660"/>
        </w:trPr>
        <w:tc>
          <w:tcPr>
            <w:tcW w:w="1096" w:type="dxa"/>
            <w:tcBorders>
              <w:top w:val="single" w:sz="4" w:space="0" w:color="auto"/>
              <w:left w:val="single" w:sz="4" w:space="0" w:color="auto"/>
              <w:bottom w:val="single" w:sz="4" w:space="0" w:color="auto"/>
              <w:right w:val="single" w:sz="4" w:space="0" w:color="auto"/>
            </w:tcBorders>
            <w:vAlign w:val="bottom"/>
          </w:tcPr>
          <w:p w14:paraId="457E80CC" w14:textId="77777777" w:rsidR="001E42F9" w:rsidRPr="00402D8B" w:rsidRDefault="001E42F9" w:rsidP="00895606">
            <w:pPr>
              <w:rPr>
                <w:sz w:val="20"/>
                <w:szCs w:val="20"/>
              </w:rPr>
            </w:pPr>
            <w:r w:rsidRPr="00402D8B">
              <w:rPr>
                <w:sz w:val="20"/>
                <w:szCs w:val="20"/>
              </w:rPr>
              <w:t>Total MCHN recipients</w:t>
            </w:r>
          </w:p>
        </w:tc>
        <w:tc>
          <w:tcPr>
            <w:tcW w:w="916" w:type="dxa"/>
            <w:tcBorders>
              <w:top w:val="single" w:sz="4" w:space="0" w:color="auto"/>
              <w:left w:val="single" w:sz="4" w:space="0" w:color="auto"/>
              <w:bottom w:val="single" w:sz="4" w:space="0" w:color="auto"/>
              <w:right w:val="single" w:sz="4" w:space="0" w:color="auto"/>
            </w:tcBorders>
            <w:noWrap/>
            <w:vAlign w:val="bottom"/>
          </w:tcPr>
          <w:p w14:paraId="211FE4FB" w14:textId="77777777" w:rsidR="001E42F9" w:rsidRPr="00402D8B" w:rsidRDefault="001E42F9" w:rsidP="00895606">
            <w:pPr>
              <w:jc w:val="right"/>
              <w:rPr>
                <w:sz w:val="20"/>
                <w:szCs w:val="20"/>
              </w:rPr>
            </w:pPr>
            <w:r w:rsidRPr="00402D8B">
              <w:rPr>
                <w:sz w:val="20"/>
                <w:szCs w:val="20"/>
              </w:rPr>
              <w:t>85,000</w:t>
            </w:r>
          </w:p>
        </w:tc>
        <w:tc>
          <w:tcPr>
            <w:tcW w:w="794" w:type="dxa"/>
            <w:tcBorders>
              <w:top w:val="single" w:sz="4" w:space="0" w:color="auto"/>
              <w:left w:val="single" w:sz="4" w:space="0" w:color="auto"/>
              <w:bottom w:val="single" w:sz="4" w:space="0" w:color="auto"/>
              <w:right w:val="single" w:sz="4" w:space="0" w:color="auto"/>
            </w:tcBorders>
            <w:noWrap/>
            <w:vAlign w:val="bottom"/>
          </w:tcPr>
          <w:p w14:paraId="5FA046FA" w14:textId="77777777" w:rsidR="001E42F9" w:rsidRPr="00402D8B" w:rsidRDefault="001E42F9" w:rsidP="00895606">
            <w:pPr>
              <w:jc w:val="right"/>
              <w:rPr>
                <w:sz w:val="20"/>
                <w:szCs w:val="20"/>
              </w:rPr>
            </w:pPr>
            <w:r w:rsidRPr="00402D8B">
              <w:rPr>
                <w:sz w:val="20"/>
                <w:szCs w:val="20"/>
              </w:rPr>
              <w:t>12</w:t>
            </w:r>
          </w:p>
        </w:tc>
        <w:tc>
          <w:tcPr>
            <w:tcW w:w="990" w:type="dxa"/>
            <w:tcBorders>
              <w:top w:val="single" w:sz="4" w:space="0" w:color="auto"/>
              <w:left w:val="single" w:sz="4" w:space="0" w:color="auto"/>
              <w:bottom w:val="single" w:sz="4" w:space="0" w:color="auto"/>
              <w:right w:val="single" w:sz="4" w:space="0" w:color="auto"/>
            </w:tcBorders>
            <w:noWrap/>
            <w:vAlign w:val="bottom"/>
          </w:tcPr>
          <w:p w14:paraId="22CFBDD6" w14:textId="77777777" w:rsidR="001E42F9" w:rsidRPr="00402D8B" w:rsidRDefault="001E42F9" w:rsidP="00895606">
            <w:pPr>
              <w:jc w:val="right"/>
              <w:rPr>
                <w:sz w:val="20"/>
                <w:szCs w:val="20"/>
              </w:rPr>
            </w:pPr>
            <w:r>
              <w:rPr>
                <w:sz w:val="20"/>
                <w:szCs w:val="20"/>
              </w:rPr>
              <w:t>1,020</w:t>
            </w:r>
          </w:p>
        </w:tc>
        <w:tc>
          <w:tcPr>
            <w:tcW w:w="1170" w:type="dxa"/>
            <w:tcBorders>
              <w:top w:val="single" w:sz="4" w:space="0" w:color="auto"/>
              <w:left w:val="single" w:sz="4" w:space="0" w:color="auto"/>
              <w:bottom w:val="single" w:sz="4" w:space="0" w:color="auto"/>
              <w:right w:val="single" w:sz="4" w:space="0" w:color="auto"/>
            </w:tcBorders>
            <w:noWrap/>
            <w:vAlign w:val="bottom"/>
          </w:tcPr>
          <w:p w14:paraId="16B28C7E" w14:textId="77777777" w:rsidR="001E42F9" w:rsidRPr="00402D8B" w:rsidRDefault="001E42F9" w:rsidP="00895606">
            <w:pPr>
              <w:jc w:val="right"/>
              <w:rPr>
                <w:sz w:val="20"/>
                <w:szCs w:val="20"/>
              </w:rPr>
            </w:pPr>
            <w:r w:rsidRPr="00402D8B">
              <w:rPr>
                <w:sz w:val="20"/>
                <w:szCs w:val="20"/>
              </w:rPr>
              <w:t>0.45</w:t>
            </w:r>
          </w:p>
        </w:tc>
        <w:tc>
          <w:tcPr>
            <w:tcW w:w="1136" w:type="dxa"/>
            <w:tcBorders>
              <w:top w:val="single" w:sz="4" w:space="0" w:color="auto"/>
              <w:left w:val="single" w:sz="4" w:space="0" w:color="auto"/>
              <w:bottom w:val="single" w:sz="4" w:space="0" w:color="auto"/>
              <w:right w:val="single" w:sz="4" w:space="0" w:color="auto"/>
            </w:tcBorders>
            <w:noWrap/>
            <w:vAlign w:val="bottom"/>
          </w:tcPr>
          <w:p w14:paraId="5AC477C4" w14:textId="77777777" w:rsidR="001E42F9" w:rsidRPr="00402D8B" w:rsidRDefault="001E42F9" w:rsidP="00895606">
            <w:pPr>
              <w:jc w:val="right"/>
              <w:rPr>
                <w:sz w:val="20"/>
                <w:szCs w:val="20"/>
              </w:rPr>
            </w:pPr>
            <w:r>
              <w:rPr>
                <w:sz w:val="20"/>
                <w:szCs w:val="20"/>
              </w:rPr>
              <w:t>459</w:t>
            </w:r>
          </w:p>
        </w:tc>
        <w:tc>
          <w:tcPr>
            <w:tcW w:w="1097" w:type="dxa"/>
            <w:tcBorders>
              <w:top w:val="single" w:sz="4" w:space="0" w:color="auto"/>
              <w:left w:val="single" w:sz="4" w:space="0" w:color="auto"/>
              <w:bottom w:val="single" w:sz="4" w:space="0" w:color="auto"/>
              <w:right w:val="single" w:sz="4" w:space="0" w:color="auto"/>
            </w:tcBorders>
            <w:noWrap/>
            <w:vAlign w:val="bottom"/>
          </w:tcPr>
          <w:p w14:paraId="3E338AAC" w14:textId="77777777" w:rsidR="001E42F9" w:rsidRPr="00402D8B" w:rsidRDefault="001E42F9" w:rsidP="00895606">
            <w:pPr>
              <w:jc w:val="center"/>
              <w:rPr>
                <w:sz w:val="20"/>
                <w:szCs w:val="20"/>
              </w:rPr>
            </w:pPr>
            <w:r>
              <w:rPr>
                <w:sz w:val="20"/>
                <w:szCs w:val="20"/>
              </w:rPr>
              <w:t>N/A</w:t>
            </w:r>
          </w:p>
        </w:tc>
        <w:tc>
          <w:tcPr>
            <w:tcW w:w="939" w:type="dxa"/>
            <w:tcBorders>
              <w:top w:val="single" w:sz="4" w:space="0" w:color="auto"/>
              <w:left w:val="single" w:sz="4" w:space="0" w:color="auto"/>
              <w:bottom w:val="single" w:sz="4" w:space="0" w:color="auto"/>
              <w:right w:val="single" w:sz="4" w:space="0" w:color="auto"/>
            </w:tcBorders>
            <w:noWrap/>
            <w:vAlign w:val="bottom"/>
          </w:tcPr>
          <w:p w14:paraId="5A5BB49C" w14:textId="77777777" w:rsidR="001E42F9" w:rsidRPr="00402D8B" w:rsidRDefault="001E42F9" w:rsidP="00895606">
            <w:pPr>
              <w:jc w:val="right"/>
              <w:rPr>
                <w:sz w:val="20"/>
                <w:szCs w:val="20"/>
              </w:rPr>
            </w:pPr>
            <w:r>
              <w:rPr>
                <w:sz w:val="20"/>
                <w:szCs w:val="20"/>
              </w:rPr>
              <w:t>N/A</w:t>
            </w:r>
            <w:r w:rsidRPr="00402D8B">
              <w:rPr>
                <w:sz w:val="20"/>
                <w:szCs w:val="20"/>
              </w:rPr>
              <w:t> </w:t>
            </w:r>
          </w:p>
        </w:tc>
        <w:tc>
          <w:tcPr>
            <w:tcW w:w="1238" w:type="dxa"/>
            <w:tcBorders>
              <w:top w:val="single" w:sz="4" w:space="0" w:color="auto"/>
              <w:left w:val="single" w:sz="4" w:space="0" w:color="auto"/>
              <w:bottom w:val="single" w:sz="4" w:space="0" w:color="auto"/>
              <w:right w:val="single" w:sz="4" w:space="0" w:color="auto"/>
            </w:tcBorders>
            <w:noWrap/>
            <w:vAlign w:val="bottom"/>
          </w:tcPr>
          <w:p w14:paraId="0B2CB37F" w14:textId="77777777" w:rsidR="001E42F9" w:rsidRPr="00402D8B" w:rsidRDefault="001E42F9" w:rsidP="00895606">
            <w:pPr>
              <w:jc w:val="right"/>
              <w:rPr>
                <w:sz w:val="20"/>
                <w:szCs w:val="20"/>
              </w:rPr>
            </w:pPr>
            <w:r>
              <w:rPr>
                <w:sz w:val="20"/>
                <w:szCs w:val="20"/>
              </w:rPr>
              <w:t>241,667</w:t>
            </w:r>
          </w:p>
        </w:tc>
        <w:tc>
          <w:tcPr>
            <w:tcW w:w="892" w:type="dxa"/>
            <w:tcBorders>
              <w:top w:val="single" w:sz="4" w:space="0" w:color="auto"/>
              <w:left w:val="single" w:sz="4" w:space="0" w:color="auto"/>
              <w:bottom w:val="single" w:sz="4" w:space="0" w:color="auto"/>
              <w:right w:val="single" w:sz="4" w:space="0" w:color="auto"/>
            </w:tcBorders>
            <w:noWrap/>
            <w:vAlign w:val="bottom"/>
          </w:tcPr>
          <w:p w14:paraId="4CEEB50D" w14:textId="77777777" w:rsidR="001E42F9" w:rsidRPr="00402D8B" w:rsidRDefault="001E42F9" w:rsidP="00895606">
            <w:pPr>
              <w:jc w:val="right"/>
              <w:rPr>
                <w:sz w:val="20"/>
                <w:szCs w:val="20"/>
              </w:rPr>
            </w:pPr>
            <w:r w:rsidRPr="00402D8B">
              <w:rPr>
                <w:sz w:val="20"/>
                <w:szCs w:val="20"/>
              </w:rPr>
              <w:t>0.0019</w:t>
            </w:r>
          </w:p>
        </w:tc>
      </w:tr>
    </w:tbl>
    <w:p w14:paraId="4F5364EF" w14:textId="3BA66CA1" w:rsidR="00CC2961" w:rsidRPr="00127000" w:rsidRDefault="00127000" w:rsidP="001E42F9">
      <w:pPr>
        <w:rPr>
          <w:i/>
        </w:rPr>
      </w:pPr>
      <w:r>
        <w:t>Source: Barrett (2009)</w:t>
      </w:r>
    </w:p>
    <w:p w14:paraId="4D53FBF7" w14:textId="77777777" w:rsidR="0081549A" w:rsidRDefault="0081549A" w:rsidP="001E42F9"/>
    <w:p w14:paraId="29F61616" w14:textId="3AE2B53A" w:rsidR="001E42F9" w:rsidRDefault="001E42F9" w:rsidP="001E42F9">
      <w:r>
        <w:t xml:space="preserve">Thinking about the possibility of converting all MCHN programs in the country from food to cash, one needs to compare the resulting national-scale increment in demand to trade volumes. Central government data indicated 2.9 million metric tons of rice </w:t>
      </w:r>
      <w:proofErr w:type="gramStart"/>
      <w:r>
        <w:t>were</w:t>
      </w:r>
      <w:proofErr w:type="gramEnd"/>
      <w:r>
        <w:t xml:space="preserve"> imported in 2007-8. Following the same simple method of crudely estimat</w:t>
      </w:r>
      <w:r w:rsidR="00867351">
        <w:t>ing</w:t>
      </w:r>
      <w:r>
        <w:t xml:space="preserve"> likely additional rice demand from a conversion to cash, we found it would amount to less than 0.2% of average import volumes.  Again, the likelihood of inducing price increases seems extremely low. This exercise found only a modest expected shift in demand in the event of a switch from food aid to cash, and </w:t>
      </w:r>
      <w:r w:rsidR="00CC2961">
        <w:t xml:space="preserve">that </w:t>
      </w:r>
      <w:r>
        <w:t xml:space="preserve">expansion should be very feasible for traders to accommodate without triggering any significant price adjustment. </w:t>
      </w:r>
      <w:r w:rsidR="00CC2961">
        <w:t>However</w:t>
      </w:r>
      <w:r>
        <w:t>,</w:t>
      </w:r>
      <w:r w:rsidR="00CC2961">
        <w:t xml:space="preserve"> even though</w:t>
      </w:r>
      <w:r>
        <w:t xml:space="preserve"> the Bangladesh Ministry of </w:t>
      </w:r>
      <w:r>
        <w:lastRenderedPageBreak/>
        <w:t>Food and Disaster Management ensures a relatively high degree of food aid coordination across agencies</w:t>
      </w:r>
      <w:r w:rsidR="00CC2961">
        <w:t>,</w:t>
      </w:r>
      <w:r>
        <w:t xml:space="preserve"> in situations </w:t>
      </w:r>
      <w:r w:rsidR="00CC2961">
        <w:t xml:space="preserve">in which </w:t>
      </w:r>
      <w:r>
        <w:t>a number of large food aid actors consider introducing cash transfers simultaneously without consulting each other, problems could result.  The obvious implication is that some amount of inter-agency coordination is necessary.</w:t>
      </w:r>
    </w:p>
    <w:p w14:paraId="60BA1E49" w14:textId="77777777" w:rsidR="001E42F9" w:rsidRDefault="001E42F9" w:rsidP="001E42F9"/>
    <w:p w14:paraId="5F28BD9F" w14:textId="77777777" w:rsidR="001E42F9" w:rsidRDefault="001E42F9" w:rsidP="001E42F9">
      <w:r>
        <w:t xml:space="preserve">As demonstrated in this one example, estimating the potential increase in demand is relatively easy provided one can synthesize data from multiple sources: basic needs assessment information; primary data from discussions with traders; and secondary data on estimated marginal propensities to consume and national trade volumes. </w:t>
      </w:r>
      <w:r w:rsidRPr="007349F5">
        <w:t>In most</w:t>
      </w:r>
      <w:r>
        <w:t xml:space="preserve"> settings, this should be feasible, especially with prior preparation through baseline analysis before agencies hit an emergency requiring rapid response analysis.  </w:t>
      </w:r>
    </w:p>
    <w:p w14:paraId="38FF5434" w14:textId="77777777" w:rsidR="001E42F9" w:rsidRDefault="001E42F9" w:rsidP="001E42F9"/>
    <w:p w14:paraId="364E27C2" w14:textId="26601B7F" w:rsidR="001E42F9" w:rsidRPr="001A5BFD" w:rsidRDefault="001E42F9" w:rsidP="00CC2961">
      <w:pPr>
        <w:rPr>
          <w:b/>
        </w:rPr>
      </w:pPr>
      <w:r w:rsidRPr="001A5BFD">
        <w:rPr>
          <w:b/>
        </w:rPr>
        <w:t>Example</w:t>
      </w:r>
      <w:r>
        <w:rPr>
          <w:b/>
        </w:rPr>
        <w:t xml:space="preserve"> 2: </w:t>
      </w:r>
      <w:r w:rsidRPr="001A5BFD">
        <w:rPr>
          <w:b/>
        </w:rPr>
        <w:t>Estimating Supply Responsiveness using Marginal Propensities to Consume and Value of Excess Trader Capacity</w:t>
      </w:r>
    </w:p>
    <w:p w14:paraId="6F580149" w14:textId="7482F3C4" w:rsidR="00E40BEB" w:rsidRDefault="00CC2961" w:rsidP="001308FB">
      <w:r>
        <w:t>In this example, w</w:t>
      </w:r>
      <w:r w:rsidR="001E42F9">
        <w:t xml:space="preserve">e estimate the increase in the market demand for food goods caused by an injection of cash transfers. To ascertain whether local markets can efficiently absorb the amount of cash entering the system from a cash-based food security response, one first needs to have a sense of how much local demand for food will increase.  Local demand response to cash transfers will depend on several household and programmatic parameters.  </w:t>
      </w:r>
    </w:p>
    <w:p w14:paraId="1E36361F" w14:textId="77777777" w:rsidR="00E40BEB" w:rsidRDefault="00E40BEB" w:rsidP="001308FB"/>
    <w:p w14:paraId="20C70C9E" w14:textId="6743F789" w:rsidR="00E40BEB" w:rsidRDefault="001E42F9" w:rsidP="001308FB">
      <w:r>
        <w:t xml:space="preserve">First, we estimate household marginal propensity to consume food (MPCF) from an incremental change in income in order to approximate the amount of cash transfer that a recipient household will use to purchase food. To compute the MPCF, we asked each household how they would spend a one-time gift of Ksh2000 and computed the fraction to be spent on food. Column C of </w:t>
      </w:r>
      <w:r w:rsidR="001308FB">
        <w:t>the below table</w:t>
      </w:r>
      <w:r>
        <w:t xml:space="preserve"> displays location-averaged marginal propensity to consume food. Households indicate that on average they are likely to spend between 42% and 53% of an additional income increment on food. In other words, these households are likely to spend almost half of any one-time cash transfer they receive. </w:t>
      </w:r>
      <w:r w:rsidRPr="00735E42">
        <w:t>Given that a one-time gift could be spent differently than a regularly occurring transfer during food insecurity, we use our elicited MPC</w:t>
      </w:r>
      <w:r>
        <w:t>F</w:t>
      </w:r>
      <w:r w:rsidRPr="00735E42">
        <w:t xml:space="preserve"> as a lower bound to demand response for food and an MPC</w:t>
      </w:r>
      <w:r>
        <w:t>F</w:t>
      </w:r>
      <w:r w:rsidRPr="00735E42">
        <w:t xml:space="preserve"> of 75% as an upper bound for demand response for food.</w:t>
      </w:r>
    </w:p>
    <w:p w14:paraId="0F3BDC92" w14:textId="77777777" w:rsidR="00E40BEB" w:rsidRDefault="00E40BEB" w:rsidP="001308FB"/>
    <w:p w14:paraId="06899859" w14:textId="4B1027B3" w:rsidR="00E40BEB" w:rsidRDefault="001E42F9" w:rsidP="001308FB">
      <w:r>
        <w:t xml:space="preserve">To calculate the total local increase in food demand we then average household own-valuation of the most recent food aid basket for each community (see Column B). The values vary widely, between </w:t>
      </w:r>
      <w:bookmarkStart w:id="0" w:name="_GoBack"/>
      <w:r>
        <w:t xml:space="preserve">Ksh1142 in </w:t>
      </w:r>
      <w:proofErr w:type="spellStart"/>
      <w:r>
        <w:t>Loiyangalani</w:t>
      </w:r>
      <w:proofErr w:type="spellEnd"/>
      <w:r>
        <w:t xml:space="preserve"> and almost twice that in </w:t>
      </w:r>
      <w:proofErr w:type="spellStart"/>
      <w:r>
        <w:t>Logologo</w:t>
      </w:r>
      <w:proofErr w:type="spellEnd"/>
      <w:r>
        <w:t>. While food aid provision occurs</w:t>
      </w:r>
      <w:r w:rsidR="001308FB">
        <w:t xml:space="preserve"> </w:t>
      </w:r>
      <w:r>
        <w:t>roughly once every two months</w:t>
      </w:r>
      <w:r w:rsidR="00CC2961">
        <w:t xml:space="preserve"> in our sample</w:t>
      </w:r>
      <w:r>
        <w:t xml:space="preserve">, we model the inflow as a single payment event. In later steps, we compare traders’ abilities to increase their supply to meet this </w:t>
      </w:r>
      <w:bookmarkEnd w:id="0"/>
      <w:r>
        <w:t xml:space="preserve">demand.  </w:t>
      </w:r>
    </w:p>
    <w:p w14:paraId="67A6307F" w14:textId="77777777" w:rsidR="00E40BEB" w:rsidRDefault="00E40BEB" w:rsidP="001308FB"/>
    <w:p w14:paraId="6D9F71BE" w14:textId="31879AA9" w:rsidR="00E40BEB" w:rsidRDefault="001E42F9" w:rsidP="001308FB">
      <w:r>
        <w:t xml:space="preserve">To generate the increase in local monthly food demand created by a cash transfer program into these locations, we multiply the estimated household population by the community averaged marginal propensity to consume food and the value of the </w:t>
      </w:r>
      <w:r>
        <w:lastRenderedPageBreak/>
        <w:t xml:space="preserve">typical food aid basket. As of June 2008, the Kenyan Red Cross delivered World Food Program aid to 63,720 individuals in </w:t>
      </w:r>
      <w:proofErr w:type="spellStart"/>
      <w:r>
        <w:t>Marsabit</w:t>
      </w:r>
      <w:proofErr w:type="spellEnd"/>
      <w:r>
        <w:t xml:space="preserve"> district. </w:t>
      </w:r>
      <w:proofErr w:type="spellStart"/>
      <w:r>
        <w:t>Marsabit’s</w:t>
      </w:r>
      <w:proofErr w:type="spellEnd"/>
      <w:r>
        <w:t xml:space="preserve"> population is estimated to be approximately 160,000 households.</w:t>
      </w:r>
      <w:r>
        <w:rPr>
          <w:rStyle w:val="FootnoteReference"/>
        </w:rPr>
        <w:footnoteReference w:id="1"/>
      </w:r>
      <w:r>
        <w:t xml:space="preserve"> Thus, recent targeting rates are roughly 40 percent. We offer two scenarios; one in which 40% of the total population is covered and the other with full coverage across the entire community. In Columns D, E, G, and H, we present the estimated value of increased local food demand resulting from a cash transfer program with the stated characteristics. The lower bound cash transfer valued at the going food basket valuation offered to the entire sub-location population varies between just under a million shillings in </w:t>
      </w:r>
      <w:proofErr w:type="spellStart"/>
      <w:r>
        <w:t>Loiyangalani</w:t>
      </w:r>
      <w:proofErr w:type="spellEnd"/>
      <w:r>
        <w:t xml:space="preserve"> to over 1.5 million in North </w:t>
      </w:r>
      <w:proofErr w:type="spellStart"/>
      <w:r>
        <w:t>Horr</w:t>
      </w:r>
      <w:proofErr w:type="spellEnd"/>
      <w:r>
        <w:t xml:space="preserve">. The upper bound is between 1.6 million shillings in </w:t>
      </w:r>
      <w:proofErr w:type="spellStart"/>
      <w:r>
        <w:t>Dirib</w:t>
      </w:r>
      <w:proofErr w:type="spellEnd"/>
      <w:r>
        <w:t xml:space="preserve"> Gumbo to 2.2 million shillings in </w:t>
      </w:r>
      <w:proofErr w:type="spellStart"/>
      <w:r>
        <w:t>Loiyangalani</w:t>
      </w:r>
      <w:proofErr w:type="spellEnd"/>
      <w:r>
        <w:t>. The next step is to ascertain whether the market traders are able to meet this demand without causing localized inflation in food prices.</w:t>
      </w:r>
    </w:p>
    <w:p w14:paraId="18DB7EA9" w14:textId="77777777" w:rsidR="001E42F9" w:rsidRDefault="001E42F9" w:rsidP="001E42F9">
      <w:pPr>
        <w:jc w:val="both"/>
      </w:pPr>
    </w:p>
    <w:p w14:paraId="3796DDF4" w14:textId="3A45096E" w:rsidR="001E42F9" w:rsidRPr="009B4EED" w:rsidRDefault="001E42F9" w:rsidP="001E42F9">
      <w:pPr>
        <w:pStyle w:val="Caption"/>
        <w:rPr>
          <w:sz w:val="24"/>
          <w:szCs w:val="24"/>
        </w:rPr>
      </w:pPr>
      <w:r w:rsidRPr="009B4EED">
        <w:rPr>
          <w:sz w:val="24"/>
          <w:szCs w:val="24"/>
        </w:rPr>
        <w:t>Estimated Value of Food Demand Generated by Cash Transfer</w:t>
      </w:r>
    </w:p>
    <w:p w14:paraId="31CDBB33" w14:textId="77777777" w:rsidR="001E42F9" w:rsidRDefault="001E42F9" w:rsidP="001E42F9">
      <w:pPr>
        <w:rPr>
          <w:sz w:val="16"/>
          <w:szCs w:val="16"/>
        </w:rPr>
      </w:pPr>
      <w:bookmarkStart w:id="1" w:name="OLE_LINK9"/>
    </w:p>
    <w:tbl>
      <w:tblPr>
        <w:tblW w:w="9003" w:type="dxa"/>
        <w:tblInd w:w="93" w:type="dxa"/>
        <w:tblLook w:val="0000" w:firstRow="0" w:lastRow="0" w:firstColumn="0" w:lastColumn="0" w:noHBand="0" w:noVBand="0"/>
      </w:tblPr>
      <w:tblGrid>
        <w:gridCol w:w="1189"/>
        <w:gridCol w:w="1030"/>
        <w:gridCol w:w="897"/>
        <w:gridCol w:w="721"/>
        <w:gridCol w:w="1212"/>
        <w:gridCol w:w="1013"/>
        <w:gridCol w:w="721"/>
        <w:gridCol w:w="1170"/>
        <w:gridCol w:w="1050"/>
      </w:tblGrid>
      <w:tr w:rsidR="001E42F9" w:rsidRPr="003A43C1" w14:paraId="5766E7CF" w14:textId="77777777">
        <w:trPr>
          <w:trHeight w:val="1220"/>
        </w:trPr>
        <w:tc>
          <w:tcPr>
            <w:tcW w:w="1189" w:type="dxa"/>
            <w:tcBorders>
              <w:top w:val="nil"/>
              <w:left w:val="nil"/>
              <w:bottom w:val="single" w:sz="4" w:space="0" w:color="auto"/>
              <w:right w:val="nil"/>
            </w:tcBorders>
            <w:shd w:val="clear" w:color="auto" w:fill="auto"/>
            <w:noWrap/>
            <w:vAlign w:val="bottom"/>
          </w:tcPr>
          <w:p w14:paraId="3C935A09" w14:textId="77777777" w:rsidR="001E42F9" w:rsidRPr="003A43C1" w:rsidRDefault="001E42F9" w:rsidP="00895606">
            <w:pPr>
              <w:rPr>
                <w:b/>
                <w:sz w:val="16"/>
                <w:szCs w:val="16"/>
              </w:rPr>
            </w:pPr>
            <w:bookmarkStart w:id="2" w:name="OLE_LINK3"/>
            <w:bookmarkStart w:id="3" w:name="OLE_LINK6"/>
          </w:p>
        </w:tc>
        <w:tc>
          <w:tcPr>
            <w:tcW w:w="1030" w:type="dxa"/>
            <w:tcBorders>
              <w:top w:val="nil"/>
              <w:left w:val="nil"/>
              <w:bottom w:val="single" w:sz="4" w:space="0" w:color="auto"/>
              <w:right w:val="nil"/>
            </w:tcBorders>
            <w:shd w:val="clear" w:color="auto" w:fill="auto"/>
            <w:vAlign w:val="bottom"/>
          </w:tcPr>
          <w:p w14:paraId="7BF1E22F" w14:textId="77777777" w:rsidR="001E42F9" w:rsidRPr="003A43C1" w:rsidRDefault="001E42F9" w:rsidP="00895606">
            <w:pPr>
              <w:jc w:val="center"/>
              <w:rPr>
                <w:b/>
                <w:bCs/>
                <w:sz w:val="16"/>
                <w:szCs w:val="16"/>
              </w:rPr>
            </w:pPr>
            <w:r w:rsidRPr="003A43C1">
              <w:rPr>
                <w:b/>
                <w:bCs/>
                <w:sz w:val="16"/>
                <w:szCs w:val="16"/>
              </w:rPr>
              <w:t>HH population</w:t>
            </w:r>
          </w:p>
        </w:tc>
        <w:tc>
          <w:tcPr>
            <w:tcW w:w="897" w:type="dxa"/>
            <w:tcBorders>
              <w:top w:val="nil"/>
              <w:left w:val="nil"/>
              <w:bottom w:val="single" w:sz="4" w:space="0" w:color="auto"/>
              <w:right w:val="nil"/>
            </w:tcBorders>
            <w:shd w:val="clear" w:color="auto" w:fill="auto"/>
            <w:vAlign w:val="bottom"/>
          </w:tcPr>
          <w:p w14:paraId="097F19E4" w14:textId="77777777" w:rsidR="001E42F9" w:rsidRPr="003A43C1" w:rsidRDefault="001E42F9" w:rsidP="00895606">
            <w:pPr>
              <w:jc w:val="center"/>
              <w:rPr>
                <w:b/>
                <w:bCs/>
                <w:sz w:val="16"/>
                <w:szCs w:val="16"/>
              </w:rPr>
            </w:pPr>
            <w:r w:rsidRPr="003A43C1">
              <w:rPr>
                <w:b/>
                <w:bCs/>
                <w:sz w:val="16"/>
                <w:szCs w:val="16"/>
              </w:rPr>
              <w:t>Average value of food aid basket</w:t>
            </w:r>
          </w:p>
        </w:tc>
        <w:tc>
          <w:tcPr>
            <w:tcW w:w="721" w:type="dxa"/>
            <w:tcBorders>
              <w:top w:val="nil"/>
              <w:left w:val="nil"/>
              <w:bottom w:val="single" w:sz="4" w:space="0" w:color="auto"/>
              <w:right w:val="nil"/>
            </w:tcBorders>
            <w:shd w:val="clear" w:color="auto" w:fill="auto"/>
            <w:vAlign w:val="bottom"/>
          </w:tcPr>
          <w:p w14:paraId="6C10FA32" w14:textId="77777777" w:rsidR="001E42F9" w:rsidRPr="003A43C1" w:rsidRDefault="001E42F9" w:rsidP="00895606">
            <w:pPr>
              <w:jc w:val="center"/>
              <w:rPr>
                <w:b/>
                <w:bCs/>
                <w:sz w:val="16"/>
                <w:szCs w:val="16"/>
              </w:rPr>
            </w:pPr>
            <w:r w:rsidRPr="003A43C1">
              <w:rPr>
                <w:b/>
                <w:bCs/>
                <w:sz w:val="16"/>
                <w:szCs w:val="16"/>
              </w:rPr>
              <w:t>Lower Bound MPC</w:t>
            </w:r>
          </w:p>
        </w:tc>
        <w:tc>
          <w:tcPr>
            <w:tcW w:w="1212" w:type="dxa"/>
            <w:tcBorders>
              <w:top w:val="nil"/>
              <w:left w:val="nil"/>
              <w:bottom w:val="single" w:sz="4" w:space="0" w:color="auto"/>
              <w:right w:val="nil"/>
            </w:tcBorders>
            <w:shd w:val="clear" w:color="auto" w:fill="auto"/>
            <w:vAlign w:val="bottom"/>
          </w:tcPr>
          <w:p w14:paraId="625B3D1C" w14:textId="77777777" w:rsidR="001E42F9" w:rsidRPr="003A43C1" w:rsidRDefault="001E42F9" w:rsidP="00895606">
            <w:pPr>
              <w:jc w:val="center"/>
              <w:rPr>
                <w:b/>
                <w:bCs/>
                <w:sz w:val="16"/>
                <w:szCs w:val="16"/>
              </w:rPr>
            </w:pPr>
            <w:r w:rsidRPr="003A43C1">
              <w:rPr>
                <w:b/>
                <w:bCs/>
                <w:sz w:val="16"/>
                <w:szCs w:val="16"/>
              </w:rPr>
              <w:t>Lower value of food demanded based on transfer to 40% of pop</w:t>
            </w:r>
          </w:p>
        </w:tc>
        <w:tc>
          <w:tcPr>
            <w:tcW w:w="1013" w:type="dxa"/>
            <w:tcBorders>
              <w:top w:val="nil"/>
              <w:left w:val="nil"/>
              <w:bottom w:val="single" w:sz="4" w:space="0" w:color="auto"/>
              <w:right w:val="nil"/>
            </w:tcBorders>
            <w:shd w:val="clear" w:color="auto" w:fill="auto"/>
            <w:vAlign w:val="bottom"/>
          </w:tcPr>
          <w:p w14:paraId="61443935" w14:textId="77777777" w:rsidR="001E42F9" w:rsidRPr="003A43C1" w:rsidRDefault="001E42F9" w:rsidP="00895606">
            <w:pPr>
              <w:jc w:val="center"/>
              <w:rPr>
                <w:b/>
                <w:bCs/>
                <w:sz w:val="16"/>
                <w:szCs w:val="16"/>
              </w:rPr>
            </w:pPr>
            <w:r w:rsidRPr="003A43C1">
              <w:rPr>
                <w:b/>
                <w:bCs/>
                <w:sz w:val="16"/>
                <w:szCs w:val="16"/>
              </w:rPr>
              <w:t>Lower value of food demanded based transfer to entire pop</w:t>
            </w:r>
          </w:p>
        </w:tc>
        <w:tc>
          <w:tcPr>
            <w:tcW w:w="721" w:type="dxa"/>
            <w:tcBorders>
              <w:top w:val="nil"/>
              <w:left w:val="nil"/>
              <w:bottom w:val="single" w:sz="4" w:space="0" w:color="auto"/>
              <w:right w:val="nil"/>
            </w:tcBorders>
            <w:shd w:val="clear" w:color="auto" w:fill="auto"/>
            <w:vAlign w:val="bottom"/>
          </w:tcPr>
          <w:p w14:paraId="11537E86" w14:textId="77777777" w:rsidR="001E42F9" w:rsidRPr="003A43C1" w:rsidRDefault="001E42F9" w:rsidP="00895606">
            <w:pPr>
              <w:jc w:val="center"/>
              <w:rPr>
                <w:b/>
                <w:bCs/>
                <w:sz w:val="16"/>
                <w:szCs w:val="16"/>
              </w:rPr>
            </w:pPr>
            <w:r w:rsidRPr="003A43C1">
              <w:rPr>
                <w:b/>
                <w:bCs/>
                <w:sz w:val="16"/>
                <w:szCs w:val="16"/>
              </w:rPr>
              <w:t>Upper Bound MPC</w:t>
            </w:r>
          </w:p>
        </w:tc>
        <w:tc>
          <w:tcPr>
            <w:tcW w:w="1170" w:type="dxa"/>
            <w:tcBorders>
              <w:top w:val="nil"/>
              <w:left w:val="nil"/>
              <w:bottom w:val="single" w:sz="4" w:space="0" w:color="auto"/>
              <w:right w:val="nil"/>
            </w:tcBorders>
            <w:shd w:val="clear" w:color="auto" w:fill="auto"/>
            <w:vAlign w:val="bottom"/>
          </w:tcPr>
          <w:p w14:paraId="4B298D1B" w14:textId="77777777" w:rsidR="001E42F9" w:rsidRPr="003A43C1" w:rsidRDefault="001E42F9" w:rsidP="00895606">
            <w:pPr>
              <w:jc w:val="center"/>
              <w:rPr>
                <w:b/>
                <w:bCs/>
                <w:sz w:val="16"/>
                <w:szCs w:val="16"/>
              </w:rPr>
            </w:pPr>
            <w:r w:rsidRPr="003A43C1">
              <w:rPr>
                <w:b/>
                <w:bCs/>
                <w:sz w:val="16"/>
                <w:szCs w:val="16"/>
              </w:rPr>
              <w:t>Upper value of food demanded based on transfer to 40% of pop</w:t>
            </w:r>
          </w:p>
        </w:tc>
        <w:tc>
          <w:tcPr>
            <w:tcW w:w="1050" w:type="dxa"/>
            <w:tcBorders>
              <w:top w:val="nil"/>
              <w:left w:val="nil"/>
              <w:bottom w:val="single" w:sz="4" w:space="0" w:color="auto"/>
              <w:right w:val="nil"/>
            </w:tcBorders>
            <w:shd w:val="clear" w:color="auto" w:fill="auto"/>
            <w:vAlign w:val="bottom"/>
          </w:tcPr>
          <w:p w14:paraId="14172804" w14:textId="77777777" w:rsidR="001E42F9" w:rsidRPr="003A43C1" w:rsidRDefault="001E42F9" w:rsidP="00895606">
            <w:pPr>
              <w:jc w:val="center"/>
              <w:rPr>
                <w:b/>
                <w:bCs/>
                <w:sz w:val="16"/>
                <w:szCs w:val="16"/>
              </w:rPr>
            </w:pPr>
            <w:r w:rsidRPr="003A43C1">
              <w:rPr>
                <w:b/>
                <w:bCs/>
                <w:sz w:val="16"/>
                <w:szCs w:val="16"/>
              </w:rPr>
              <w:t>Upper value of food demanded based on transfer to entire pop</w:t>
            </w:r>
          </w:p>
        </w:tc>
      </w:tr>
      <w:tr w:rsidR="001E42F9" w:rsidRPr="003A43C1" w14:paraId="77CA2826" w14:textId="77777777">
        <w:trPr>
          <w:trHeight w:val="260"/>
        </w:trPr>
        <w:tc>
          <w:tcPr>
            <w:tcW w:w="1189" w:type="dxa"/>
            <w:tcBorders>
              <w:top w:val="single" w:sz="4" w:space="0" w:color="auto"/>
              <w:left w:val="nil"/>
              <w:bottom w:val="nil"/>
              <w:right w:val="nil"/>
            </w:tcBorders>
            <w:shd w:val="clear" w:color="auto" w:fill="auto"/>
            <w:noWrap/>
            <w:vAlign w:val="bottom"/>
          </w:tcPr>
          <w:p w14:paraId="21D7DF8B" w14:textId="77777777" w:rsidR="001E42F9" w:rsidRPr="003A43C1" w:rsidRDefault="001E42F9" w:rsidP="00895606">
            <w:pPr>
              <w:rPr>
                <w:b/>
                <w:sz w:val="16"/>
                <w:szCs w:val="16"/>
              </w:rPr>
            </w:pPr>
          </w:p>
        </w:tc>
        <w:tc>
          <w:tcPr>
            <w:tcW w:w="1030" w:type="dxa"/>
            <w:tcBorders>
              <w:top w:val="single" w:sz="4" w:space="0" w:color="auto"/>
              <w:left w:val="nil"/>
              <w:bottom w:val="nil"/>
              <w:right w:val="nil"/>
            </w:tcBorders>
            <w:shd w:val="clear" w:color="auto" w:fill="auto"/>
            <w:noWrap/>
            <w:vAlign w:val="bottom"/>
          </w:tcPr>
          <w:p w14:paraId="71A7AE2F" w14:textId="77777777" w:rsidR="001E42F9" w:rsidRPr="003A43C1" w:rsidRDefault="001E42F9" w:rsidP="00895606">
            <w:pPr>
              <w:jc w:val="center"/>
              <w:rPr>
                <w:sz w:val="16"/>
                <w:szCs w:val="16"/>
              </w:rPr>
            </w:pPr>
            <w:r w:rsidRPr="003A43C1">
              <w:rPr>
                <w:sz w:val="16"/>
                <w:szCs w:val="16"/>
              </w:rPr>
              <w:t>A</w:t>
            </w:r>
          </w:p>
        </w:tc>
        <w:tc>
          <w:tcPr>
            <w:tcW w:w="897" w:type="dxa"/>
            <w:tcBorders>
              <w:top w:val="single" w:sz="4" w:space="0" w:color="auto"/>
              <w:left w:val="nil"/>
              <w:bottom w:val="nil"/>
              <w:right w:val="nil"/>
            </w:tcBorders>
            <w:shd w:val="clear" w:color="auto" w:fill="auto"/>
            <w:noWrap/>
            <w:vAlign w:val="bottom"/>
          </w:tcPr>
          <w:p w14:paraId="48D24758" w14:textId="77777777" w:rsidR="001E42F9" w:rsidRPr="003A43C1" w:rsidRDefault="001E42F9" w:rsidP="00895606">
            <w:pPr>
              <w:jc w:val="center"/>
              <w:rPr>
                <w:sz w:val="16"/>
                <w:szCs w:val="16"/>
              </w:rPr>
            </w:pPr>
            <w:r w:rsidRPr="003A43C1">
              <w:rPr>
                <w:sz w:val="16"/>
                <w:szCs w:val="16"/>
              </w:rPr>
              <w:t>B*</w:t>
            </w:r>
          </w:p>
        </w:tc>
        <w:tc>
          <w:tcPr>
            <w:tcW w:w="721" w:type="dxa"/>
            <w:tcBorders>
              <w:top w:val="single" w:sz="4" w:space="0" w:color="auto"/>
              <w:left w:val="nil"/>
              <w:bottom w:val="nil"/>
              <w:right w:val="nil"/>
            </w:tcBorders>
            <w:shd w:val="clear" w:color="auto" w:fill="auto"/>
            <w:noWrap/>
            <w:vAlign w:val="bottom"/>
          </w:tcPr>
          <w:p w14:paraId="4607E7FD" w14:textId="77777777" w:rsidR="001E42F9" w:rsidRPr="003A43C1" w:rsidRDefault="001E42F9" w:rsidP="00895606">
            <w:pPr>
              <w:jc w:val="center"/>
              <w:rPr>
                <w:sz w:val="16"/>
                <w:szCs w:val="16"/>
              </w:rPr>
            </w:pPr>
            <w:r w:rsidRPr="003A43C1">
              <w:rPr>
                <w:sz w:val="16"/>
                <w:szCs w:val="16"/>
              </w:rPr>
              <w:t>C</w:t>
            </w:r>
          </w:p>
        </w:tc>
        <w:tc>
          <w:tcPr>
            <w:tcW w:w="1212" w:type="dxa"/>
            <w:tcBorders>
              <w:top w:val="single" w:sz="4" w:space="0" w:color="auto"/>
              <w:left w:val="nil"/>
              <w:bottom w:val="nil"/>
              <w:right w:val="nil"/>
            </w:tcBorders>
            <w:shd w:val="clear" w:color="auto" w:fill="auto"/>
            <w:noWrap/>
            <w:vAlign w:val="bottom"/>
          </w:tcPr>
          <w:p w14:paraId="385BB9C4" w14:textId="77777777" w:rsidR="001E42F9" w:rsidRPr="003A43C1" w:rsidRDefault="001E42F9" w:rsidP="00895606">
            <w:pPr>
              <w:jc w:val="center"/>
              <w:rPr>
                <w:sz w:val="16"/>
                <w:szCs w:val="16"/>
              </w:rPr>
            </w:pPr>
            <w:r w:rsidRPr="003A43C1">
              <w:rPr>
                <w:sz w:val="16"/>
                <w:szCs w:val="16"/>
              </w:rPr>
              <w:t>D=AxBxCx0.4</w:t>
            </w:r>
          </w:p>
        </w:tc>
        <w:tc>
          <w:tcPr>
            <w:tcW w:w="1013" w:type="dxa"/>
            <w:tcBorders>
              <w:top w:val="single" w:sz="4" w:space="0" w:color="auto"/>
              <w:left w:val="nil"/>
              <w:bottom w:val="nil"/>
              <w:right w:val="nil"/>
            </w:tcBorders>
            <w:shd w:val="clear" w:color="auto" w:fill="auto"/>
            <w:noWrap/>
            <w:vAlign w:val="bottom"/>
          </w:tcPr>
          <w:p w14:paraId="31F25A6A" w14:textId="77777777" w:rsidR="001E42F9" w:rsidRPr="003A43C1" w:rsidRDefault="001E42F9" w:rsidP="00895606">
            <w:pPr>
              <w:jc w:val="center"/>
              <w:rPr>
                <w:sz w:val="16"/>
                <w:szCs w:val="16"/>
              </w:rPr>
            </w:pPr>
            <w:r w:rsidRPr="003A43C1">
              <w:rPr>
                <w:sz w:val="16"/>
                <w:szCs w:val="16"/>
              </w:rPr>
              <w:t>E=</w:t>
            </w:r>
            <w:proofErr w:type="spellStart"/>
            <w:r w:rsidRPr="003A43C1">
              <w:rPr>
                <w:sz w:val="16"/>
                <w:szCs w:val="16"/>
              </w:rPr>
              <w:t>AxBxC</w:t>
            </w:r>
            <w:proofErr w:type="spellEnd"/>
          </w:p>
        </w:tc>
        <w:tc>
          <w:tcPr>
            <w:tcW w:w="721" w:type="dxa"/>
            <w:tcBorders>
              <w:top w:val="single" w:sz="4" w:space="0" w:color="auto"/>
              <w:left w:val="nil"/>
              <w:bottom w:val="nil"/>
              <w:right w:val="nil"/>
            </w:tcBorders>
            <w:shd w:val="clear" w:color="auto" w:fill="auto"/>
            <w:noWrap/>
            <w:vAlign w:val="bottom"/>
          </w:tcPr>
          <w:p w14:paraId="39834F8D" w14:textId="77777777" w:rsidR="001E42F9" w:rsidRPr="003A43C1" w:rsidRDefault="001E42F9" w:rsidP="00895606">
            <w:pPr>
              <w:jc w:val="center"/>
              <w:rPr>
                <w:sz w:val="16"/>
                <w:szCs w:val="16"/>
              </w:rPr>
            </w:pPr>
            <w:r w:rsidRPr="003A43C1">
              <w:rPr>
                <w:sz w:val="16"/>
                <w:szCs w:val="16"/>
              </w:rPr>
              <w:t>F</w:t>
            </w:r>
          </w:p>
        </w:tc>
        <w:tc>
          <w:tcPr>
            <w:tcW w:w="1170" w:type="dxa"/>
            <w:tcBorders>
              <w:top w:val="single" w:sz="4" w:space="0" w:color="auto"/>
              <w:left w:val="nil"/>
              <w:bottom w:val="nil"/>
              <w:right w:val="nil"/>
            </w:tcBorders>
            <w:shd w:val="clear" w:color="auto" w:fill="auto"/>
            <w:noWrap/>
            <w:vAlign w:val="bottom"/>
          </w:tcPr>
          <w:p w14:paraId="7D8FB327" w14:textId="77777777" w:rsidR="001E42F9" w:rsidRPr="003A43C1" w:rsidRDefault="001E42F9" w:rsidP="00895606">
            <w:pPr>
              <w:jc w:val="center"/>
              <w:rPr>
                <w:sz w:val="16"/>
                <w:szCs w:val="16"/>
              </w:rPr>
            </w:pPr>
            <w:r w:rsidRPr="003A43C1">
              <w:rPr>
                <w:sz w:val="16"/>
                <w:szCs w:val="16"/>
              </w:rPr>
              <w:t>G=A*B*F*0.4</w:t>
            </w:r>
          </w:p>
        </w:tc>
        <w:tc>
          <w:tcPr>
            <w:tcW w:w="1050" w:type="dxa"/>
            <w:tcBorders>
              <w:top w:val="single" w:sz="4" w:space="0" w:color="auto"/>
              <w:left w:val="nil"/>
              <w:bottom w:val="nil"/>
              <w:right w:val="nil"/>
            </w:tcBorders>
            <w:shd w:val="clear" w:color="auto" w:fill="auto"/>
            <w:noWrap/>
            <w:vAlign w:val="bottom"/>
          </w:tcPr>
          <w:p w14:paraId="0CD8E4B2" w14:textId="77777777" w:rsidR="001E42F9" w:rsidRPr="003A43C1" w:rsidRDefault="001E42F9" w:rsidP="00895606">
            <w:pPr>
              <w:jc w:val="center"/>
              <w:rPr>
                <w:sz w:val="16"/>
                <w:szCs w:val="16"/>
              </w:rPr>
            </w:pPr>
            <w:r w:rsidRPr="003A43C1">
              <w:rPr>
                <w:sz w:val="16"/>
                <w:szCs w:val="16"/>
              </w:rPr>
              <w:t>H=A*B*F</w:t>
            </w:r>
          </w:p>
        </w:tc>
      </w:tr>
      <w:tr w:rsidR="001E42F9" w:rsidRPr="003A43C1" w14:paraId="50130437" w14:textId="77777777">
        <w:trPr>
          <w:trHeight w:val="260"/>
        </w:trPr>
        <w:tc>
          <w:tcPr>
            <w:tcW w:w="1189" w:type="dxa"/>
            <w:tcBorders>
              <w:top w:val="nil"/>
              <w:left w:val="nil"/>
              <w:bottom w:val="nil"/>
              <w:right w:val="nil"/>
            </w:tcBorders>
            <w:shd w:val="clear" w:color="auto" w:fill="auto"/>
            <w:noWrap/>
            <w:vAlign w:val="bottom"/>
          </w:tcPr>
          <w:p w14:paraId="21732F72" w14:textId="77777777" w:rsidR="001E42F9" w:rsidRPr="004D096A" w:rsidRDefault="001E42F9" w:rsidP="00895606">
            <w:pPr>
              <w:rPr>
                <w:b/>
                <w:i/>
                <w:sz w:val="16"/>
                <w:szCs w:val="16"/>
              </w:rPr>
            </w:pPr>
            <w:proofErr w:type="spellStart"/>
            <w:r w:rsidRPr="004D096A">
              <w:rPr>
                <w:b/>
                <w:i/>
                <w:sz w:val="16"/>
                <w:szCs w:val="16"/>
              </w:rPr>
              <w:t>Dirib</w:t>
            </w:r>
            <w:proofErr w:type="spellEnd"/>
            <w:r w:rsidRPr="004D096A">
              <w:rPr>
                <w:b/>
                <w:i/>
                <w:sz w:val="16"/>
                <w:szCs w:val="16"/>
              </w:rPr>
              <w:t xml:space="preserve"> </w:t>
            </w:r>
            <w:proofErr w:type="spellStart"/>
            <w:r w:rsidRPr="004D096A">
              <w:rPr>
                <w:b/>
                <w:i/>
                <w:sz w:val="16"/>
                <w:szCs w:val="16"/>
              </w:rPr>
              <w:t>Gombo</w:t>
            </w:r>
            <w:proofErr w:type="spellEnd"/>
          </w:p>
        </w:tc>
        <w:tc>
          <w:tcPr>
            <w:tcW w:w="1030" w:type="dxa"/>
            <w:tcBorders>
              <w:top w:val="nil"/>
              <w:left w:val="nil"/>
              <w:bottom w:val="nil"/>
              <w:right w:val="nil"/>
            </w:tcBorders>
            <w:shd w:val="clear" w:color="auto" w:fill="auto"/>
            <w:noWrap/>
            <w:vAlign w:val="bottom"/>
          </w:tcPr>
          <w:p w14:paraId="5AEFE2C8" w14:textId="77777777" w:rsidR="001E42F9" w:rsidRPr="003A43C1" w:rsidRDefault="001E42F9" w:rsidP="00895606">
            <w:pPr>
              <w:jc w:val="right"/>
              <w:rPr>
                <w:sz w:val="16"/>
                <w:szCs w:val="16"/>
              </w:rPr>
            </w:pPr>
            <w:r w:rsidRPr="003A43C1">
              <w:rPr>
                <w:sz w:val="16"/>
                <w:szCs w:val="16"/>
              </w:rPr>
              <w:t>1170</w:t>
            </w:r>
          </w:p>
        </w:tc>
        <w:tc>
          <w:tcPr>
            <w:tcW w:w="897" w:type="dxa"/>
            <w:tcBorders>
              <w:top w:val="nil"/>
              <w:left w:val="nil"/>
              <w:bottom w:val="nil"/>
              <w:right w:val="nil"/>
            </w:tcBorders>
            <w:shd w:val="clear" w:color="auto" w:fill="auto"/>
            <w:noWrap/>
            <w:vAlign w:val="bottom"/>
          </w:tcPr>
          <w:p w14:paraId="3FDBFF9A" w14:textId="77777777" w:rsidR="001E42F9" w:rsidRPr="003A43C1" w:rsidRDefault="001E42F9" w:rsidP="00895606">
            <w:pPr>
              <w:jc w:val="right"/>
              <w:rPr>
                <w:sz w:val="16"/>
                <w:szCs w:val="16"/>
              </w:rPr>
            </w:pPr>
            <w:r w:rsidRPr="003A43C1">
              <w:rPr>
                <w:sz w:val="16"/>
                <w:szCs w:val="16"/>
              </w:rPr>
              <w:t>1,797</w:t>
            </w:r>
          </w:p>
        </w:tc>
        <w:tc>
          <w:tcPr>
            <w:tcW w:w="721" w:type="dxa"/>
            <w:tcBorders>
              <w:top w:val="nil"/>
              <w:left w:val="nil"/>
              <w:bottom w:val="nil"/>
              <w:right w:val="nil"/>
            </w:tcBorders>
            <w:shd w:val="clear" w:color="auto" w:fill="auto"/>
            <w:noWrap/>
            <w:vAlign w:val="bottom"/>
          </w:tcPr>
          <w:p w14:paraId="75E994D4" w14:textId="77777777" w:rsidR="001E42F9" w:rsidRPr="003A43C1" w:rsidRDefault="001E42F9" w:rsidP="00895606">
            <w:pPr>
              <w:jc w:val="right"/>
              <w:rPr>
                <w:sz w:val="16"/>
                <w:szCs w:val="16"/>
              </w:rPr>
            </w:pPr>
            <w:r w:rsidRPr="003A43C1">
              <w:rPr>
                <w:sz w:val="16"/>
                <w:szCs w:val="16"/>
              </w:rPr>
              <w:t>0.53</w:t>
            </w:r>
          </w:p>
        </w:tc>
        <w:tc>
          <w:tcPr>
            <w:tcW w:w="1212" w:type="dxa"/>
            <w:tcBorders>
              <w:top w:val="nil"/>
              <w:left w:val="nil"/>
              <w:bottom w:val="nil"/>
              <w:right w:val="nil"/>
            </w:tcBorders>
            <w:shd w:val="clear" w:color="auto" w:fill="auto"/>
            <w:noWrap/>
            <w:vAlign w:val="bottom"/>
          </w:tcPr>
          <w:p w14:paraId="1CFF79B6" w14:textId="77777777" w:rsidR="001E42F9" w:rsidRPr="003A43C1" w:rsidRDefault="001E42F9" w:rsidP="00895606">
            <w:pPr>
              <w:jc w:val="right"/>
              <w:rPr>
                <w:sz w:val="16"/>
                <w:szCs w:val="16"/>
              </w:rPr>
            </w:pPr>
            <w:r w:rsidRPr="003A43C1">
              <w:rPr>
                <w:sz w:val="16"/>
                <w:szCs w:val="16"/>
              </w:rPr>
              <w:t>445,728</w:t>
            </w:r>
          </w:p>
        </w:tc>
        <w:tc>
          <w:tcPr>
            <w:tcW w:w="1013" w:type="dxa"/>
            <w:tcBorders>
              <w:top w:val="nil"/>
              <w:left w:val="nil"/>
              <w:bottom w:val="nil"/>
              <w:right w:val="nil"/>
            </w:tcBorders>
            <w:shd w:val="clear" w:color="auto" w:fill="auto"/>
            <w:noWrap/>
            <w:vAlign w:val="bottom"/>
          </w:tcPr>
          <w:p w14:paraId="0FECF5CA" w14:textId="77777777" w:rsidR="001E42F9" w:rsidRPr="003A43C1" w:rsidRDefault="001E42F9" w:rsidP="00895606">
            <w:pPr>
              <w:jc w:val="right"/>
              <w:rPr>
                <w:sz w:val="16"/>
                <w:szCs w:val="16"/>
              </w:rPr>
            </w:pPr>
            <w:r w:rsidRPr="003A43C1">
              <w:rPr>
                <w:sz w:val="16"/>
                <w:szCs w:val="16"/>
              </w:rPr>
              <w:t>1,113,863</w:t>
            </w:r>
          </w:p>
        </w:tc>
        <w:tc>
          <w:tcPr>
            <w:tcW w:w="721" w:type="dxa"/>
            <w:tcBorders>
              <w:top w:val="nil"/>
              <w:left w:val="nil"/>
              <w:bottom w:val="nil"/>
              <w:right w:val="nil"/>
            </w:tcBorders>
            <w:shd w:val="clear" w:color="auto" w:fill="auto"/>
            <w:noWrap/>
            <w:vAlign w:val="bottom"/>
          </w:tcPr>
          <w:p w14:paraId="109E027B" w14:textId="77777777" w:rsidR="001E42F9" w:rsidRPr="003A43C1" w:rsidRDefault="001E42F9" w:rsidP="00895606">
            <w:pPr>
              <w:jc w:val="right"/>
              <w:rPr>
                <w:sz w:val="16"/>
                <w:szCs w:val="16"/>
              </w:rPr>
            </w:pPr>
            <w:r w:rsidRPr="003A43C1">
              <w:rPr>
                <w:sz w:val="16"/>
                <w:szCs w:val="16"/>
              </w:rPr>
              <w:t>0.75</w:t>
            </w:r>
          </w:p>
        </w:tc>
        <w:tc>
          <w:tcPr>
            <w:tcW w:w="1170" w:type="dxa"/>
            <w:tcBorders>
              <w:top w:val="nil"/>
              <w:left w:val="nil"/>
              <w:bottom w:val="nil"/>
              <w:right w:val="nil"/>
            </w:tcBorders>
            <w:shd w:val="clear" w:color="auto" w:fill="auto"/>
            <w:noWrap/>
            <w:vAlign w:val="bottom"/>
          </w:tcPr>
          <w:p w14:paraId="18D1CFB9" w14:textId="77777777" w:rsidR="001E42F9" w:rsidRPr="003A43C1" w:rsidRDefault="001E42F9" w:rsidP="00895606">
            <w:pPr>
              <w:jc w:val="right"/>
              <w:rPr>
                <w:sz w:val="16"/>
                <w:szCs w:val="16"/>
              </w:rPr>
            </w:pPr>
            <w:r w:rsidRPr="003A43C1">
              <w:rPr>
                <w:sz w:val="16"/>
                <w:szCs w:val="16"/>
              </w:rPr>
              <w:t>630,747</w:t>
            </w:r>
          </w:p>
        </w:tc>
        <w:tc>
          <w:tcPr>
            <w:tcW w:w="1050" w:type="dxa"/>
            <w:tcBorders>
              <w:top w:val="nil"/>
              <w:left w:val="nil"/>
              <w:bottom w:val="nil"/>
              <w:right w:val="nil"/>
            </w:tcBorders>
            <w:shd w:val="clear" w:color="auto" w:fill="auto"/>
            <w:noWrap/>
            <w:vAlign w:val="bottom"/>
          </w:tcPr>
          <w:p w14:paraId="441AB809" w14:textId="77777777" w:rsidR="001E42F9" w:rsidRPr="003A43C1" w:rsidRDefault="001E42F9" w:rsidP="00895606">
            <w:pPr>
              <w:jc w:val="right"/>
              <w:rPr>
                <w:sz w:val="16"/>
                <w:szCs w:val="16"/>
              </w:rPr>
            </w:pPr>
            <w:r w:rsidRPr="003A43C1">
              <w:rPr>
                <w:sz w:val="16"/>
                <w:szCs w:val="16"/>
              </w:rPr>
              <w:t>1,576,868</w:t>
            </w:r>
          </w:p>
        </w:tc>
      </w:tr>
      <w:tr w:rsidR="001E42F9" w:rsidRPr="003A43C1" w14:paraId="4E2A70C1" w14:textId="77777777">
        <w:trPr>
          <w:trHeight w:val="260"/>
        </w:trPr>
        <w:tc>
          <w:tcPr>
            <w:tcW w:w="1189" w:type="dxa"/>
            <w:tcBorders>
              <w:top w:val="nil"/>
              <w:left w:val="nil"/>
              <w:bottom w:val="nil"/>
              <w:right w:val="nil"/>
            </w:tcBorders>
            <w:shd w:val="clear" w:color="auto" w:fill="auto"/>
            <w:noWrap/>
            <w:vAlign w:val="bottom"/>
          </w:tcPr>
          <w:p w14:paraId="04958EBF" w14:textId="77777777" w:rsidR="001E42F9" w:rsidRPr="004D096A" w:rsidRDefault="001E42F9" w:rsidP="00895606">
            <w:pPr>
              <w:rPr>
                <w:b/>
                <w:i/>
                <w:sz w:val="16"/>
                <w:szCs w:val="16"/>
              </w:rPr>
            </w:pPr>
            <w:proofErr w:type="spellStart"/>
            <w:r w:rsidRPr="004D096A">
              <w:rPr>
                <w:b/>
                <w:i/>
                <w:sz w:val="16"/>
                <w:szCs w:val="16"/>
              </w:rPr>
              <w:t>Kargi</w:t>
            </w:r>
            <w:proofErr w:type="spellEnd"/>
          </w:p>
        </w:tc>
        <w:tc>
          <w:tcPr>
            <w:tcW w:w="1030" w:type="dxa"/>
            <w:tcBorders>
              <w:top w:val="nil"/>
              <w:left w:val="nil"/>
              <w:bottom w:val="nil"/>
              <w:right w:val="nil"/>
            </w:tcBorders>
            <w:shd w:val="clear" w:color="auto" w:fill="auto"/>
            <w:noWrap/>
            <w:vAlign w:val="bottom"/>
          </w:tcPr>
          <w:p w14:paraId="7891E3EA" w14:textId="77777777" w:rsidR="001E42F9" w:rsidRPr="003A43C1" w:rsidRDefault="001E42F9" w:rsidP="00895606">
            <w:pPr>
              <w:jc w:val="right"/>
              <w:rPr>
                <w:sz w:val="16"/>
                <w:szCs w:val="16"/>
              </w:rPr>
            </w:pPr>
            <w:r w:rsidRPr="003A43C1">
              <w:rPr>
                <w:sz w:val="16"/>
                <w:szCs w:val="16"/>
              </w:rPr>
              <w:t>1831</w:t>
            </w:r>
          </w:p>
        </w:tc>
        <w:tc>
          <w:tcPr>
            <w:tcW w:w="897" w:type="dxa"/>
            <w:tcBorders>
              <w:top w:val="nil"/>
              <w:left w:val="nil"/>
              <w:bottom w:val="nil"/>
              <w:right w:val="nil"/>
            </w:tcBorders>
            <w:shd w:val="clear" w:color="auto" w:fill="auto"/>
            <w:noWrap/>
            <w:vAlign w:val="bottom"/>
          </w:tcPr>
          <w:p w14:paraId="0FE1807F" w14:textId="77777777" w:rsidR="001E42F9" w:rsidRPr="003A43C1" w:rsidRDefault="001E42F9" w:rsidP="00895606">
            <w:pPr>
              <w:jc w:val="right"/>
              <w:rPr>
                <w:sz w:val="16"/>
                <w:szCs w:val="16"/>
              </w:rPr>
            </w:pPr>
            <w:r w:rsidRPr="003A43C1">
              <w:rPr>
                <w:sz w:val="16"/>
                <w:szCs w:val="16"/>
              </w:rPr>
              <w:t>1,349</w:t>
            </w:r>
          </w:p>
        </w:tc>
        <w:tc>
          <w:tcPr>
            <w:tcW w:w="721" w:type="dxa"/>
            <w:tcBorders>
              <w:top w:val="nil"/>
              <w:left w:val="nil"/>
              <w:bottom w:val="nil"/>
              <w:right w:val="nil"/>
            </w:tcBorders>
            <w:shd w:val="clear" w:color="auto" w:fill="auto"/>
            <w:noWrap/>
            <w:vAlign w:val="bottom"/>
          </w:tcPr>
          <w:p w14:paraId="590B3E9C" w14:textId="77777777" w:rsidR="001E42F9" w:rsidRPr="003A43C1" w:rsidRDefault="001E42F9" w:rsidP="00895606">
            <w:pPr>
              <w:jc w:val="right"/>
              <w:rPr>
                <w:sz w:val="16"/>
                <w:szCs w:val="16"/>
              </w:rPr>
            </w:pPr>
            <w:r w:rsidRPr="003A43C1">
              <w:rPr>
                <w:sz w:val="16"/>
                <w:szCs w:val="16"/>
              </w:rPr>
              <w:t>0.49</w:t>
            </w:r>
          </w:p>
        </w:tc>
        <w:tc>
          <w:tcPr>
            <w:tcW w:w="1212" w:type="dxa"/>
            <w:tcBorders>
              <w:top w:val="nil"/>
              <w:left w:val="nil"/>
              <w:bottom w:val="nil"/>
              <w:right w:val="nil"/>
            </w:tcBorders>
            <w:shd w:val="clear" w:color="auto" w:fill="auto"/>
            <w:noWrap/>
            <w:vAlign w:val="bottom"/>
          </w:tcPr>
          <w:p w14:paraId="1F6DC289" w14:textId="77777777" w:rsidR="001E42F9" w:rsidRPr="003A43C1" w:rsidRDefault="001E42F9" w:rsidP="00895606">
            <w:pPr>
              <w:jc w:val="right"/>
              <w:rPr>
                <w:sz w:val="16"/>
                <w:szCs w:val="16"/>
              </w:rPr>
            </w:pPr>
            <w:r w:rsidRPr="003A43C1">
              <w:rPr>
                <w:sz w:val="16"/>
                <w:szCs w:val="16"/>
              </w:rPr>
              <w:t>484,124</w:t>
            </w:r>
          </w:p>
        </w:tc>
        <w:tc>
          <w:tcPr>
            <w:tcW w:w="1013" w:type="dxa"/>
            <w:tcBorders>
              <w:top w:val="nil"/>
              <w:left w:val="nil"/>
              <w:bottom w:val="nil"/>
              <w:right w:val="nil"/>
            </w:tcBorders>
            <w:shd w:val="clear" w:color="auto" w:fill="auto"/>
            <w:noWrap/>
            <w:vAlign w:val="bottom"/>
          </w:tcPr>
          <w:p w14:paraId="50CCCFC5" w14:textId="77777777" w:rsidR="001E42F9" w:rsidRPr="003A43C1" w:rsidRDefault="001E42F9" w:rsidP="00895606">
            <w:pPr>
              <w:jc w:val="right"/>
              <w:rPr>
                <w:sz w:val="16"/>
                <w:szCs w:val="16"/>
              </w:rPr>
            </w:pPr>
            <w:r w:rsidRPr="003A43C1">
              <w:rPr>
                <w:sz w:val="16"/>
                <w:szCs w:val="16"/>
              </w:rPr>
              <w:t>1,210,204</w:t>
            </w:r>
          </w:p>
        </w:tc>
        <w:tc>
          <w:tcPr>
            <w:tcW w:w="721" w:type="dxa"/>
            <w:tcBorders>
              <w:top w:val="nil"/>
              <w:left w:val="nil"/>
              <w:bottom w:val="nil"/>
              <w:right w:val="nil"/>
            </w:tcBorders>
            <w:shd w:val="clear" w:color="auto" w:fill="auto"/>
            <w:noWrap/>
            <w:vAlign w:val="bottom"/>
          </w:tcPr>
          <w:p w14:paraId="5C4B95C7" w14:textId="77777777" w:rsidR="001E42F9" w:rsidRPr="003A43C1" w:rsidRDefault="001E42F9" w:rsidP="00895606">
            <w:pPr>
              <w:jc w:val="right"/>
              <w:rPr>
                <w:sz w:val="16"/>
                <w:szCs w:val="16"/>
              </w:rPr>
            </w:pPr>
            <w:r w:rsidRPr="003A43C1">
              <w:rPr>
                <w:sz w:val="16"/>
                <w:szCs w:val="16"/>
              </w:rPr>
              <w:t>0.75</w:t>
            </w:r>
          </w:p>
        </w:tc>
        <w:tc>
          <w:tcPr>
            <w:tcW w:w="1170" w:type="dxa"/>
            <w:tcBorders>
              <w:top w:val="nil"/>
              <w:left w:val="nil"/>
              <w:bottom w:val="nil"/>
              <w:right w:val="nil"/>
            </w:tcBorders>
            <w:shd w:val="clear" w:color="auto" w:fill="auto"/>
            <w:noWrap/>
            <w:vAlign w:val="bottom"/>
          </w:tcPr>
          <w:p w14:paraId="5ABDCBA2" w14:textId="77777777" w:rsidR="001E42F9" w:rsidRPr="003A43C1" w:rsidRDefault="001E42F9" w:rsidP="00895606">
            <w:pPr>
              <w:jc w:val="right"/>
              <w:rPr>
                <w:sz w:val="16"/>
                <w:szCs w:val="16"/>
              </w:rPr>
            </w:pPr>
            <w:r w:rsidRPr="003A43C1">
              <w:rPr>
                <w:sz w:val="16"/>
                <w:szCs w:val="16"/>
              </w:rPr>
              <w:t>741,006</w:t>
            </w:r>
          </w:p>
        </w:tc>
        <w:tc>
          <w:tcPr>
            <w:tcW w:w="1050" w:type="dxa"/>
            <w:tcBorders>
              <w:top w:val="nil"/>
              <w:left w:val="nil"/>
              <w:bottom w:val="nil"/>
              <w:right w:val="nil"/>
            </w:tcBorders>
            <w:shd w:val="clear" w:color="auto" w:fill="auto"/>
            <w:noWrap/>
            <w:vAlign w:val="bottom"/>
          </w:tcPr>
          <w:p w14:paraId="3E39E59C" w14:textId="77777777" w:rsidR="001E42F9" w:rsidRPr="003A43C1" w:rsidRDefault="001E42F9" w:rsidP="00895606">
            <w:pPr>
              <w:jc w:val="right"/>
              <w:rPr>
                <w:sz w:val="16"/>
                <w:szCs w:val="16"/>
              </w:rPr>
            </w:pPr>
            <w:r w:rsidRPr="003A43C1">
              <w:rPr>
                <w:sz w:val="16"/>
                <w:szCs w:val="16"/>
              </w:rPr>
              <w:t>1,852,514</w:t>
            </w:r>
          </w:p>
        </w:tc>
      </w:tr>
      <w:tr w:rsidR="001E42F9" w:rsidRPr="003A43C1" w14:paraId="5912934E" w14:textId="77777777">
        <w:trPr>
          <w:trHeight w:val="260"/>
        </w:trPr>
        <w:tc>
          <w:tcPr>
            <w:tcW w:w="1189" w:type="dxa"/>
            <w:tcBorders>
              <w:top w:val="nil"/>
              <w:left w:val="nil"/>
              <w:bottom w:val="nil"/>
              <w:right w:val="nil"/>
            </w:tcBorders>
            <w:shd w:val="clear" w:color="auto" w:fill="auto"/>
            <w:noWrap/>
            <w:vAlign w:val="bottom"/>
          </w:tcPr>
          <w:p w14:paraId="4D348935" w14:textId="77777777" w:rsidR="001E42F9" w:rsidRPr="004D096A" w:rsidRDefault="001E42F9" w:rsidP="00895606">
            <w:pPr>
              <w:rPr>
                <w:b/>
                <w:i/>
                <w:sz w:val="16"/>
                <w:szCs w:val="16"/>
              </w:rPr>
            </w:pPr>
            <w:proofErr w:type="spellStart"/>
            <w:r w:rsidRPr="004D096A">
              <w:rPr>
                <w:b/>
                <w:i/>
                <w:sz w:val="16"/>
                <w:szCs w:val="16"/>
              </w:rPr>
              <w:t>Logologo</w:t>
            </w:r>
            <w:proofErr w:type="spellEnd"/>
          </w:p>
        </w:tc>
        <w:tc>
          <w:tcPr>
            <w:tcW w:w="1030" w:type="dxa"/>
            <w:tcBorders>
              <w:top w:val="nil"/>
              <w:left w:val="nil"/>
              <w:bottom w:val="nil"/>
              <w:right w:val="nil"/>
            </w:tcBorders>
            <w:shd w:val="clear" w:color="auto" w:fill="auto"/>
            <w:noWrap/>
            <w:vAlign w:val="bottom"/>
          </w:tcPr>
          <w:p w14:paraId="7380A213" w14:textId="77777777" w:rsidR="001E42F9" w:rsidRPr="003A43C1" w:rsidRDefault="001E42F9" w:rsidP="00895606">
            <w:pPr>
              <w:jc w:val="right"/>
              <w:rPr>
                <w:sz w:val="16"/>
                <w:szCs w:val="16"/>
              </w:rPr>
            </w:pPr>
            <w:r w:rsidRPr="003A43C1">
              <w:rPr>
                <w:sz w:val="16"/>
                <w:szCs w:val="16"/>
              </w:rPr>
              <w:t>1131</w:t>
            </w:r>
          </w:p>
        </w:tc>
        <w:tc>
          <w:tcPr>
            <w:tcW w:w="897" w:type="dxa"/>
            <w:tcBorders>
              <w:top w:val="nil"/>
              <w:left w:val="nil"/>
              <w:bottom w:val="nil"/>
              <w:right w:val="nil"/>
            </w:tcBorders>
            <w:shd w:val="clear" w:color="auto" w:fill="auto"/>
            <w:noWrap/>
            <w:vAlign w:val="bottom"/>
          </w:tcPr>
          <w:p w14:paraId="28D69B5B" w14:textId="77777777" w:rsidR="001E42F9" w:rsidRPr="003A43C1" w:rsidRDefault="001E42F9" w:rsidP="00895606">
            <w:pPr>
              <w:jc w:val="right"/>
              <w:rPr>
                <w:sz w:val="16"/>
                <w:szCs w:val="16"/>
              </w:rPr>
            </w:pPr>
            <w:r w:rsidRPr="003A43C1">
              <w:rPr>
                <w:sz w:val="16"/>
                <w:szCs w:val="16"/>
              </w:rPr>
              <w:t>2,263</w:t>
            </w:r>
          </w:p>
        </w:tc>
        <w:tc>
          <w:tcPr>
            <w:tcW w:w="721" w:type="dxa"/>
            <w:tcBorders>
              <w:top w:val="nil"/>
              <w:left w:val="nil"/>
              <w:bottom w:val="nil"/>
              <w:right w:val="nil"/>
            </w:tcBorders>
            <w:shd w:val="clear" w:color="auto" w:fill="auto"/>
            <w:noWrap/>
            <w:vAlign w:val="bottom"/>
          </w:tcPr>
          <w:p w14:paraId="4C12ADA0" w14:textId="77777777" w:rsidR="001E42F9" w:rsidRPr="003A43C1" w:rsidRDefault="001E42F9" w:rsidP="00895606">
            <w:pPr>
              <w:jc w:val="right"/>
              <w:rPr>
                <w:sz w:val="16"/>
                <w:szCs w:val="16"/>
              </w:rPr>
            </w:pPr>
            <w:r w:rsidRPr="003A43C1">
              <w:rPr>
                <w:sz w:val="16"/>
                <w:szCs w:val="16"/>
              </w:rPr>
              <w:t>0.47</w:t>
            </w:r>
          </w:p>
        </w:tc>
        <w:tc>
          <w:tcPr>
            <w:tcW w:w="1212" w:type="dxa"/>
            <w:tcBorders>
              <w:top w:val="nil"/>
              <w:left w:val="nil"/>
              <w:bottom w:val="nil"/>
              <w:right w:val="nil"/>
            </w:tcBorders>
            <w:shd w:val="clear" w:color="auto" w:fill="auto"/>
            <w:noWrap/>
            <w:vAlign w:val="bottom"/>
          </w:tcPr>
          <w:p w14:paraId="039BBC7A" w14:textId="77777777" w:rsidR="001E42F9" w:rsidRPr="003A43C1" w:rsidRDefault="001E42F9" w:rsidP="00895606">
            <w:pPr>
              <w:jc w:val="right"/>
              <w:rPr>
                <w:sz w:val="16"/>
                <w:szCs w:val="16"/>
              </w:rPr>
            </w:pPr>
            <w:r w:rsidRPr="003A43C1">
              <w:rPr>
                <w:sz w:val="16"/>
                <w:szCs w:val="16"/>
              </w:rPr>
              <w:t>481,177</w:t>
            </w:r>
          </w:p>
        </w:tc>
        <w:tc>
          <w:tcPr>
            <w:tcW w:w="1013" w:type="dxa"/>
            <w:tcBorders>
              <w:top w:val="nil"/>
              <w:left w:val="nil"/>
              <w:bottom w:val="nil"/>
              <w:right w:val="nil"/>
            </w:tcBorders>
            <w:shd w:val="clear" w:color="auto" w:fill="auto"/>
            <w:noWrap/>
            <w:vAlign w:val="bottom"/>
          </w:tcPr>
          <w:p w14:paraId="089A56A3" w14:textId="77777777" w:rsidR="001E42F9" w:rsidRPr="003A43C1" w:rsidRDefault="001E42F9" w:rsidP="00895606">
            <w:pPr>
              <w:jc w:val="right"/>
              <w:rPr>
                <w:sz w:val="16"/>
                <w:szCs w:val="16"/>
              </w:rPr>
            </w:pPr>
            <w:r w:rsidRPr="003A43C1">
              <w:rPr>
                <w:sz w:val="16"/>
                <w:szCs w:val="16"/>
              </w:rPr>
              <w:t>1,203,198</w:t>
            </w:r>
          </w:p>
        </w:tc>
        <w:tc>
          <w:tcPr>
            <w:tcW w:w="721" w:type="dxa"/>
            <w:tcBorders>
              <w:top w:val="nil"/>
              <w:left w:val="nil"/>
              <w:bottom w:val="nil"/>
              <w:right w:val="nil"/>
            </w:tcBorders>
            <w:shd w:val="clear" w:color="auto" w:fill="auto"/>
            <w:noWrap/>
            <w:vAlign w:val="bottom"/>
          </w:tcPr>
          <w:p w14:paraId="23FA552D" w14:textId="77777777" w:rsidR="001E42F9" w:rsidRPr="003A43C1" w:rsidRDefault="001E42F9" w:rsidP="00895606">
            <w:pPr>
              <w:jc w:val="right"/>
              <w:rPr>
                <w:sz w:val="16"/>
                <w:szCs w:val="16"/>
              </w:rPr>
            </w:pPr>
            <w:r w:rsidRPr="003A43C1">
              <w:rPr>
                <w:sz w:val="16"/>
                <w:szCs w:val="16"/>
              </w:rPr>
              <w:t>0.75</w:t>
            </w:r>
          </w:p>
        </w:tc>
        <w:tc>
          <w:tcPr>
            <w:tcW w:w="1170" w:type="dxa"/>
            <w:tcBorders>
              <w:top w:val="nil"/>
              <w:left w:val="nil"/>
              <w:bottom w:val="nil"/>
              <w:right w:val="nil"/>
            </w:tcBorders>
            <w:shd w:val="clear" w:color="auto" w:fill="auto"/>
            <w:noWrap/>
            <w:vAlign w:val="bottom"/>
          </w:tcPr>
          <w:p w14:paraId="55A26E65" w14:textId="77777777" w:rsidR="001E42F9" w:rsidRPr="003A43C1" w:rsidRDefault="001E42F9" w:rsidP="00895606">
            <w:pPr>
              <w:jc w:val="right"/>
              <w:rPr>
                <w:sz w:val="16"/>
                <w:szCs w:val="16"/>
              </w:rPr>
            </w:pPr>
            <w:r w:rsidRPr="003A43C1">
              <w:rPr>
                <w:sz w:val="16"/>
                <w:szCs w:val="16"/>
              </w:rPr>
              <w:t>767,836</w:t>
            </w:r>
          </w:p>
        </w:tc>
        <w:tc>
          <w:tcPr>
            <w:tcW w:w="1050" w:type="dxa"/>
            <w:tcBorders>
              <w:top w:val="nil"/>
              <w:left w:val="nil"/>
              <w:bottom w:val="nil"/>
              <w:right w:val="nil"/>
            </w:tcBorders>
            <w:shd w:val="clear" w:color="auto" w:fill="auto"/>
            <w:noWrap/>
            <w:vAlign w:val="bottom"/>
          </w:tcPr>
          <w:p w14:paraId="53720ABB" w14:textId="77777777" w:rsidR="001E42F9" w:rsidRPr="003A43C1" w:rsidRDefault="001E42F9" w:rsidP="00895606">
            <w:pPr>
              <w:jc w:val="right"/>
              <w:rPr>
                <w:sz w:val="16"/>
                <w:szCs w:val="16"/>
              </w:rPr>
            </w:pPr>
            <w:r w:rsidRPr="003A43C1">
              <w:rPr>
                <w:sz w:val="16"/>
                <w:szCs w:val="16"/>
              </w:rPr>
              <w:t>1,919,590</w:t>
            </w:r>
          </w:p>
        </w:tc>
      </w:tr>
      <w:tr w:rsidR="001E42F9" w:rsidRPr="003A43C1" w14:paraId="591252F1" w14:textId="77777777">
        <w:trPr>
          <w:trHeight w:val="260"/>
        </w:trPr>
        <w:tc>
          <w:tcPr>
            <w:tcW w:w="1189" w:type="dxa"/>
            <w:tcBorders>
              <w:top w:val="nil"/>
              <w:left w:val="nil"/>
              <w:right w:val="nil"/>
            </w:tcBorders>
            <w:shd w:val="clear" w:color="auto" w:fill="auto"/>
            <w:noWrap/>
            <w:vAlign w:val="bottom"/>
          </w:tcPr>
          <w:p w14:paraId="38A9FC57" w14:textId="77777777" w:rsidR="001E42F9" w:rsidRPr="004D096A" w:rsidRDefault="001E42F9" w:rsidP="00895606">
            <w:pPr>
              <w:rPr>
                <w:b/>
                <w:i/>
                <w:sz w:val="16"/>
                <w:szCs w:val="16"/>
              </w:rPr>
            </w:pPr>
            <w:proofErr w:type="spellStart"/>
            <w:r w:rsidRPr="004D096A">
              <w:rPr>
                <w:b/>
                <w:i/>
                <w:sz w:val="16"/>
                <w:szCs w:val="16"/>
              </w:rPr>
              <w:t>Loiyangalani</w:t>
            </w:r>
            <w:proofErr w:type="spellEnd"/>
          </w:p>
        </w:tc>
        <w:tc>
          <w:tcPr>
            <w:tcW w:w="1030" w:type="dxa"/>
            <w:tcBorders>
              <w:top w:val="nil"/>
              <w:left w:val="nil"/>
              <w:right w:val="nil"/>
            </w:tcBorders>
            <w:shd w:val="clear" w:color="auto" w:fill="auto"/>
            <w:noWrap/>
            <w:vAlign w:val="bottom"/>
          </w:tcPr>
          <w:p w14:paraId="6C4269BF" w14:textId="77777777" w:rsidR="001E42F9" w:rsidRPr="003A43C1" w:rsidRDefault="001E42F9" w:rsidP="00895606">
            <w:pPr>
              <w:jc w:val="right"/>
              <w:rPr>
                <w:sz w:val="16"/>
                <w:szCs w:val="16"/>
              </w:rPr>
            </w:pPr>
            <w:r w:rsidRPr="003A43C1">
              <w:rPr>
                <w:sz w:val="16"/>
                <w:szCs w:val="16"/>
              </w:rPr>
              <w:t>1958</w:t>
            </w:r>
          </w:p>
        </w:tc>
        <w:tc>
          <w:tcPr>
            <w:tcW w:w="897" w:type="dxa"/>
            <w:tcBorders>
              <w:top w:val="nil"/>
              <w:left w:val="nil"/>
              <w:right w:val="nil"/>
            </w:tcBorders>
            <w:shd w:val="clear" w:color="auto" w:fill="auto"/>
            <w:noWrap/>
            <w:vAlign w:val="bottom"/>
          </w:tcPr>
          <w:p w14:paraId="4ADFC3EA" w14:textId="77777777" w:rsidR="001E42F9" w:rsidRPr="003A43C1" w:rsidRDefault="001E42F9" w:rsidP="00895606">
            <w:pPr>
              <w:jc w:val="right"/>
              <w:rPr>
                <w:sz w:val="16"/>
                <w:szCs w:val="16"/>
              </w:rPr>
            </w:pPr>
            <w:r w:rsidRPr="003A43C1">
              <w:rPr>
                <w:sz w:val="16"/>
                <w:szCs w:val="16"/>
              </w:rPr>
              <w:t>1,142</w:t>
            </w:r>
          </w:p>
        </w:tc>
        <w:tc>
          <w:tcPr>
            <w:tcW w:w="721" w:type="dxa"/>
            <w:tcBorders>
              <w:top w:val="nil"/>
              <w:left w:val="nil"/>
              <w:right w:val="nil"/>
            </w:tcBorders>
            <w:shd w:val="clear" w:color="auto" w:fill="auto"/>
            <w:noWrap/>
            <w:vAlign w:val="bottom"/>
          </w:tcPr>
          <w:p w14:paraId="056BC7D8" w14:textId="77777777" w:rsidR="001E42F9" w:rsidRPr="003A43C1" w:rsidRDefault="001E42F9" w:rsidP="00895606">
            <w:pPr>
              <w:jc w:val="right"/>
              <w:rPr>
                <w:sz w:val="16"/>
                <w:szCs w:val="16"/>
              </w:rPr>
            </w:pPr>
            <w:r w:rsidRPr="003A43C1">
              <w:rPr>
                <w:sz w:val="16"/>
                <w:szCs w:val="16"/>
              </w:rPr>
              <w:t>0.42</w:t>
            </w:r>
          </w:p>
        </w:tc>
        <w:tc>
          <w:tcPr>
            <w:tcW w:w="1212" w:type="dxa"/>
            <w:tcBorders>
              <w:top w:val="nil"/>
              <w:left w:val="nil"/>
              <w:right w:val="nil"/>
            </w:tcBorders>
            <w:shd w:val="clear" w:color="auto" w:fill="auto"/>
            <w:noWrap/>
            <w:vAlign w:val="bottom"/>
          </w:tcPr>
          <w:p w14:paraId="12DE6929" w14:textId="77777777" w:rsidR="001E42F9" w:rsidRPr="003A43C1" w:rsidRDefault="001E42F9" w:rsidP="00895606">
            <w:pPr>
              <w:jc w:val="right"/>
              <w:rPr>
                <w:sz w:val="16"/>
                <w:szCs w:val="16"/>
              </w:rPr>
            </w:pPr>
            <w:r w:rsidRPr="003A43C1">
              <w:rPr>
                <w:sz w:val="16"/>
                <w:szCs w:val="16"/>
              </w:rPr>
              <w:t>375,654</w:t>
            </w:r>
          </w:p>
        </w:tc>
        <w:tc>
          <w:tcPr>
            <w:tcW w:w="1013" w:type="dxa"/>
            <w:tcBorders>
              <w:top w:val="nil"/>
              <w:left w:val="nil"/>
              <w:right w:val="nil"/>
            </w:tcBorders>
            <w:shd w:val="clear" w:color="auto" w:fill="auto"/>
            <w:noWrap/>
            <w:vAlign w:val="bottom"/>
          </w:tcPr>
          <w:p w14:paraId="79750C81" w14:textId="77777777" w:rsidR="001E42F9" w:rsidRPr="003A43C1" w:rsidRDefault="001E42F9" w:rsidP="00895606">
            <w:pPr>
              <w:jc w:val="right"/>
              <w:rPr>
                <w:sz w:val="16"/>
                <w:szCs w:val="16"/>
              </w:rPr>
            </w:pPr>
            <w:r w:rsidRPr="003A43C1">
              <w:rPr>
                <w:sz w:val="16"/>
                <w:szCs w:val="16"/>
              </w:rPr>
              <w:t>938,924</w:t>
            </w:r>
          </w:p>
        </w:tc>
        <w:tc>
          <w:tcPr>
            <w:tcW w:w="721" w:type="dxa"/>
            <w:tcBorders>
              <w:top w:val="nil"/>
              <w:left w:val="nil"/>
              <w:right w:val="nil"/>
            </w:tcBorders>
            <w:shd w:val="clear" w:color="auto" w:fill="auto"/>
            <w:noWrap/>
            <w:vAlign w:val="bottom"/>
          </w:tcPr>
          <w:p w14:paraId="1A6D9D10" w14:textId="77777777" w:rsidR="001E42F9" w:rsidRPr="003A43C1" w:rsidRDefault="001E42F9" w:rsidP="00895606">
            <w:pPr>
              <w:jc w:val="right"/>
              <w:rPr>
                <w:sz w:val="16"/>
                <w:szCs w:val="16"/>
              </w:rPr>
            </w:pPr>
            <w:r w:rsidRPr="003A43C1">
              <w:rPr>
                <w:sz w:val="16"/>
                <w:szCs w:val="16"/>
              </w:rPr>
              <w:t>0.75</w:t>
            </w:r>
          </w:p>
        </w:tc>
        <w:tc>
          <w:tcPr>
            <w:tcW w:w="1170" w:type="dxa"/>
            <w:tcBorders>
              <w:top w:val="nil"/>
              <w:left w:val="nil"/>
              <w:right w:val="nil"/>
            </w:tcBorders>
            <w:shd w:val="clear" w:color="auto" w:fill="auto"/>
            <w:noWrap/>
            <w:vAlign w:val="bottom"/>
          </w:tcPr>
          <w:p w14:paraId="7A2F2D60" w14:textId="77777777" w:rsidR="001E42F9" w:rsidRPr="003A43C1" w:rsidRDefault="001E42F9" w:rsidP="00895606">
            <w:pPr>
              <w:jc w:val="right"/>
              <w:rPr>
                <w:sz w:val="16"/>
                <w:szCs w:val="16"/>
              </w:rPr>
            </w:pPr>
            <w:r w:rsidRPr="003A43C1">
              <w:rPr>
                <w:sz w:val="16"/>
                <w:szCs w:val="16"/>
              </w:rPr>
              <w:t>670,811</w:t>
            </w:r>
          </w:p>
        </w:tc>
        <w:tc>
          <w:tcPr>
            <w:tcW w:w="1050" w:type="dxa"/>
            <w:tcBorders>
              <w:top w:val="nil"/>
              <w:left w:val="nil"/>
              <w:right w:val="nil"/>
            </w:tcBorders>
            <w:shd w:val="clear" w:color="auto" w:fill="auto"/>
            <w:noWrap/>
            <w:vAlign w:val="bottom"/>
          </w:tcPr>
          <w:p w14:paraId="7EECAF69" w14:textId="77777777" w:rsidR="001E42F9" w:rsidRPr="003A43C1" w:rsidRDefault="001E42F9" w:rsidP="00895606">
            <w:pPr>
              <w:jc w:val="right"/>
              <w:rPr>
                <w:sz w:val="16"/>
                <w:szCs w:val="16"/>
              </w:rPr>
            </w:pPr>
            <w:r w:rsidRPr="003A43C1">
              <w:rPr>
                <w:sz w:val="16"/>
                <w:szCs w:val="16"/>
              </w:rPr>
              <w:t>1,677,027</w:t>
            </w:r>
          </w:p>
        </w:tc>
      </w:tr>
      <w:tr w:rsidR="001E42F9" w:rsidRPr="003A43C1" w14:paraId="75EC8590" w14:textId="77777777">
        <w:trPr>
          <w:trHeight w:val="260"/>
        </w:trPr>
        <w:tc>
          <w:tcPr>
            <w:tcW w:w="1189" w:type="dxa"/>
            <w:tcBorders>
              <w:top w:val="nil"/>
              <w:left w:val="nil"/>
              <w:bottom w:val="single" w:sz="4" w:space="0" w:color="auto"/>
              <w:right w:val="nil"/>
            </w:tcBorders>
            <w:shd w:val="clear" w:color="auto" w:fill="auto"/>
            <w:noWrap/>
            <w:vAlign w:val="bottom"/>
          </w:tcPr>
          <w:p w14:paraId="2F04D4DF" w14:textId="77777777" w:rsidR="001E42F9" w:rsidRPr="004D096A" w:rsidRDefault="001E42F9" w:rsidP="00895606">
            <w:pPr>
              <w:rPr>
                <w:b/>
                <w:i/>
                <w:sz w:val="16"/>
                <w:szCs w:val="16"/>
              </w:rPr>
            </w:pPr>
            <w:r w:rsidRPr="004D096A">
              <w:rPr>
                <w:b/>
                <w:i/>
                <w:sz w:val="16"/>
                <w:szCs w:val="16"/>
              </w:rPr>
              <w:t xml:space="preserve">North </w:t>
            </w:r>
            <w:proofErr w:type="spellStart"/>
            <w:r w:rsidRPr="004D096A">
              <w:rPr>
                <w:b/>
                <w:i/>
                <w:sz w:val="16"/>
                <w:szCs w:val="16"/>
              </w:rPr>
              <w:t>Horr</w:t>
            </w:r>
            <w:proofErr w:type="spellEnd"/>
            <w:r w:rsidRPr="004D096A">
              <w:rPr>
                <w:b/>
                <w:i/>
                <w:sz w:val="16"/>
                <w:szCs w:val="16"/>
              </w:rPr>
              <w:t xml:space="preserve"> </w:t>
            </w:r>
          </w:p>
        </w:tc>
        <w:tc>
          <w:tcPr>
            <w:tcW w:w="1030" w:type="dxa"/>
            <w:tcBorders>
              <w:top w:val="nil"/>
              <w:left w:val="nil"/>
              <w:bottom w:val="single" w:sz="4" w:space="0" w:color="auto"/>
              <w:right w:val="nil"/>
            </w:tcBorders>
            <w:shd w:val="clear" w:color="auto" w:fill="auto"/>
            <w:noWrap/>
            <w:vAlign w:val="bottom"/>
          </w:tcPr>
          <w:p w14:paraId="67674960" w14:textId="77777777" w:rsidR="001E42F9" w:rsidRPr="003A43C1" w:rsidRDefault="001E42F9" w:rsidP="00895606">
            <w:pPr>
              <w:jc w:val="right"/>
              <w:rPr>
                <w:sz w:val="16"/>
                <w:szCs w:val="16"/>
              </w:rPr>
            </w:pPr>
            <w:r w:rsidRPr="003A43C1">
              <w:rPr>
                <w:sz w:val="16"/>
                <w:szCs w:val="16"/>
              </w:rPr>
              <w:t>2294</w:t>
            </w:r>
          </w:p>
        </w:tc>
        <w:tc>
          <w:tcPr>
            <w:tcW w:w="897" w:type="dxa"/>
            <w:tcBorders>
              <w:top w:val="nil"/>
              <w:left w:val="nil"/>
              <w:bottom w:val="single" w:sz="4" w:space="0" w:color="auto"/>
              <w:right w:val="nil"/>
            </w:tcBorders>
            <w:shd w:val="clear" w:color="auto" w:fill="auto"/>
            <w:noWrap/>
            <w:vAlign w:val="bottom"/>
          </w:tcPr>
          <w:p w14:paraId="0076C3F7" w14:textId="77777777" w:rsidR="001E42F9" w:rsidRPr="003A43C1" w:rsidRDefault="001E42F9" w:rsidP="00895606">
            <w:pPr>
              <w:jc w:val="right"/>
              <w:rPr>
                <w:sz w:val="16"/>
                <w:szCs w:val="16"/>
              </w:rPr>
            </w:pPr>
            <w:r w:rsidRPr="003A43C1">
              <w:rPr>
                <w:sz w:val="16"/>
                <w:szCs w:val="16"/>
              </w:rPr>
              <w:t>1,295</w:t>
            </w:r>
          </w:p>
        </w:tc>
        <w:tc>
          <w:tcPr>
            <w:tcW w:w="721" w:type="dxa"/>
            <w:tcBorders>
              <w:top w:val="nil"/>
              <w:left w:val="nil"/>
              <w:bottom w:val="single" w:sz="4" w:space="0" w:color="auto"/>
              <w:right w:val="nil"/>
            </w:tcBorders>
            <w:shd w:val="clear" w:color="auto" w:fill="auto"/>
            <w:noWrap/>
            <w:vAlign w:val="bottom"/>
          </w:tcPr>
          <w:p w14:paraId="67489745" w14:textId="77777777" w:rsidR="001E42F9" w:rsidRPr="003A43C1" w:rsidRDefault="001E42F9" w:rsidP="00895606">
            <w:pPr>
              <w:jc w:val="right"/>
              <w:rPr>
                <w:sz w:val="16"/>
                <w:szCs w:val="16"/>
              </w:rPr>
            </w:pPr>
            <w:r w:rsidRPr="003A43C1">
              <w:rPr>
                <w:sz w:val="16"/>
                <w:szCs w:val="16"/>
              </w:rPr>
              <w:t>0.53</w:t>
            </w:r>
          </w:p>
        </w:tc>
        <w:tc>
          <w:tcPr>
            <w:tcW w:w="1212" w:type="dxa"/>
            <w:tcBorders>
              <w:top w:val="nil"/>
              <w:left w:val="nil"/>
              <w:bottom w:val="single" w:sz="4" w:space="0" w:color="auto"/>
              <w:right w:val="nil"/>
            </w:tcBorders>
            <w:shd w:val="clear" w:color="auto" w:fill="auto"/>
            <w:noWrap/>
            <w:vAlign w:val="bottom"/>
          </w:tcPr>
          <w:p w14:paraId="66E02947" w14:textId="77777777" w:rsidR="001E42F9" w:rsidRPr="003A43C1" w:rsidRDefault="001E42F9" w:rsidP="00895606">
            <w:pPr>
              <w:jc w:val="right"/>
              <w:rPr>
                <w:sz w:val="16"/>
                <w:szCs w:val="16"/>
              </w:rPr>
            </w:pPr>
            <w:r w:rsidRPr="003A43C1">
              <w:rPr>
                <w:sz w:val="16"/>
                <w:szCs w:val="16"/>
              </w:rPr>
              <w:t>629,795</w:t>
            </w:r>
          </w:p>
        </w:tc>
        <w:tc>
          <w:tcPr>
            <w:tcW w:w="1013" w:type="dxa"/>
            <w:tcBorders>
              <w:top w:val="nil"/>
              <w:left w:val="nil"/>
              <w:bottom w:val="single" w:sz="4" w:space="0" w:color="auto"/>
              <w:right w:val="nil"/>
            </w:tcBorders>
            <w:shd w:val="clear" w:color="auto" w:fill="auto"/>
            <w:noWrap/>
            <w:vAlign w:val="bottom"/>
          </w:tcPr>
          <w:p w14:paraId="409C6DB9" w14:textId="77777777" w:rsidR="001E42F9" w:rsidRPr="003A43C1" w:rsidRDefault="001E42F9" w:rsidP="00895606">
            <w:pPr>
              <w:jc w:val="right"/>
              <w:rPr>
                <w:sz w:val="16"/>
                <w:szCs w:val="16"/>
              </w:rPr>
            </w:pPr>
            <w:r w:rsidRPr="003A43C1">
              <w:rPr>
                <w:sz w:val="16"/>
                <w:szCs w:val="16"/>
              </w:rPr>
              <w:t>1,574,597</w:t>
            </w:r>
          </w:p>
        </w:tc>
        <w:tc>
          <w:tcPr>
            <w:tcW w:w="721" w:type="dxa"/>
            <w:tcBorders>
              <w:top w:val="nil"/>
              <w:left w:val="nil"/>
              <w:bottom w:val="single" w:sz="4" w:space="0" w:color="auto"/>
              <w:right w:val="nil"/>
            </w:tcBorders>
            <w:shd w:val="clear" w:color="auto" w:fill="auto"/>
            <w:noWrap/>
            <w:vAlign w:val="bottom"/>
          </w:tcPr>
          <w:p w14:paraId="4C2A1F62" w14:textId="77777777" w:rsidR="001E42F9" w:rsidRPr="003A43C1" w:rsidRDefault="001E42F9" w:rsidP="00895606">
            <w:pPr>
              <w:jc w:val="right"/>
              <w:rPr>
                <w:sz w:val="16"/>
                <w:szCs w:val="16"/>
              </w:rPr>
            </w:pPr>
            <w:r w:rsidRPr="003A43C1">
              <w:rPr>
                <w:sz w:val="16"/>
                <w:szCs w:val="16"/>
              </w:rPr>
              <w:t>0.75</w:t>
            </w:r>
          </w:p>
        </w:tc>
        <w:tc>
          <w:tcPr>
            <w:tcW w:w="1170" w:type="dxa"/>
            <w:tcBorders>
              <w:top w:val="nil"/>
              <w:left w:val="nil"/>
              <w:bottom w:val="single" w:sz="4" w:space="0" w:color="auto"/>
              <w:right w:val="nil"/>
            </w:tcBorders>
            <w:shd w:val="clear" w:color="auto" w:fill="auto"/>
            <w:noWrap/>
            <w:vAlign w:val="bottom"/>
          </w:tcPr>
          <w:p w14:paraId="0702CFE4" w14:textId="77777777" w:rsidR="001E42F9" w:rsidRPr="003A43C1" w:rsidRDefault="001E42F9" w:rsidP="00895606">
            <w:pPr>
              <w:jc w:val="right"/>
              <w:rPr>
                <w:sz w:val="16"/>
                <w:szCs w:val="16"/>
              </w:rPr>
            </w:pPr>
            <w:r w:rsidRPr="003A43C1">
              <w:rPr>
                <w:sz w:val="16"/>
                <w:szCs w:val="16"/>
              </w:rPr>
              <w:t>891,219</w:t>
            </w:r>
          </w:p>
        </w:tc>
        <w:tc>
          <w:tcPr>
            <w:tcW w:w="1050" w:type="dxa"/>
            <w:tcBorders>
              <w:top w:val="nil"/>
              <w:left w:val="nil"/>
              <w:bottom w:val="single" w:sz="4" w:space="0" w:color="auto"/>
              <w:right w:val="nil"/>
            </w:tcBorders>
            <w:shd w:val="clear" w:color="auto" w:fill="auto"/>
            <w:noWrap/>
            <w:vAlign w:val="bottom"/>
          </w:tcPr>
          <w:p w14:paraId="11EE16C7" w14:textId="77777777" w:rsidR="001E42F9" w:rsidRPr="003A43C1" w:rsidRDefault="001E42F9" w:rsidP="00895606">
            <w:pPr>
              <w:jc w:val="right"/>
              <w:rPr>
                <w:sz w:val="16"/>
                <w:szCs w:val="16"/>
              </w:rPr>
            </w:pPr>
            <w:r w:rsidRPr="003A43C1">
              <w:rPr>
                <w:sz w:val="16"/>
                <w:szCs w:val="16"/>
              </w:rPr>
              <w:t>2,228,048</w:t>
            </w:r>
          </w:p>
        </w:tc>
      </w:tr>
      <w:bookmarkEnd w:id="1"/>
      <w:bookmarkEnd w:id="2"/>
      <w:bookmarkEnd w:id="3"/>
    </w:tbl>
    <w:p w14:paraId="0DCCEB23" w14:textId="77777777" w:rsidR="001E42F9" w:rsidRDefault="001E42F9" w:rsidP="001E42F9">
      <w:pPr>
        <w:rPr>
          <w:sz w:val="16"/>
          <w:szCs w:val="16"/>
        </w:rPr>
      </w:pPr>
    </w:p>
    <w:p w14:paraId="09656114" w14:textId="77777777" w:rsidR="001E42F9" w:rsidRPr="00C41FE8" w:rsidRDefault="001E42F9" w:rsidP="001E42F9">
      <w:pPr>
        <w:rPr>
          <w:sz w:val="16"/>
          <w:szCs w:val="16"/>
        </w:rPr>
      </w:pPr>
      <w:r>
        <w:rPr>
          <w:sz w:val="16"/>
          <w:szCs w:val="16"/>
        </w:rPr>
        <w:t xml:space="preserve">* HH population is sub-location 99 Census scaled by 32%, which is the estimated </w:t>
      </w:r>
      <w:proofErr w:type="spellStart"/>
      <w:r>
        <w:rPr>
          <w:sz w:val="16"/>
          <w:szCs w:val="16"/>
        </w:rPr>
        <w:t>Marsabit</w:t>
      </w:r>
      <w:proofErr w:type="spellEnd"/>
      <w:r>
        <w:rPr>
          <w:sz w:val="16"/>
          <w:szCs w:val="16"/>
        </w:rPr>
        <w:t xml:space="preserve"> population growth rate from 1999 to 2009.</w:t>
      </w:r>
    </w:p>
    <w:p w14:paraId="1149FB0F" w14:textId="7ABC8884" w:rsidR="001E42F9" w:rsidRPr="009357DC" w:rsidRDefault="0081549A" w:rsidP="001E42F9">
      <w:pPr>
        <w:jc w:val="both"/>
        <w:rPr>
          <w:rFonts w:ascii="Times New Roman" w:eastAsiaTheme="majorEastAsia" w:hAnsi="Times New Roman" w:cs="Times New Roman"/>
          <w:bCs/>
          <w:i/>
        </w:rPr>
      </w:pPr>
      <w:r w:rsidRPr="009357DC">
        <w:rPr>
          <w:rFonts w:ascii="Times New Roman" w:eastAsiaTheme="majorEastAsia" w:hAnsi="Times New Roman" w:cs="Times New Roman"/>
          <w:bCs/>
        </w:rPr>
        <w:t>Source:</w:t>
      </w:r>
      <w:r w:rsidR="00507300" w:rsidRPr="009357DC">
        <w:rPr>
          <w:rFonts w:ascii="Times New Roman" w:eastAsiaTheme="majorEastAsia" w:hAnsi="Times New Roman" w:cs="Times New Roman"/>
          <w:bCs/>
        </w:rPr>
        <w:t xml:space="preserve"> Mude et al. (forthcoming) </w:t>
      </w:r>
    </w:p>
    <w:p w14:paraId="5E312A2A" w14:textId="77777777" w:rsidR="0081549A" w:rsidRDefault="0081549A" w:rsidP="009357DC"/>
    <w:p w14:paraId="1F2B848C" w14:textId="78527FE3" w:rsidR="00E40BEB" w:rsidRDefault="001E42F9" w:rsidP="00836A79">
      <w:r>
        <w:t xml:space="preserve">Having determined possible increases </w:t>
      </w:r>
      <w:r w:rsidR="0055753B">
        <w:t xml:space="preserve">in </w:t>
      </w:r>
      <w:r>
        <w:t xml:space="preserve">demand, we estimate the capacity of local food traders to meet rising food demand in a timely manner and at current prices. Several analytical tools can be employed to estimate supply responsiveness and the resulting change in price. Much of the ensuing analysis is generated from data solicited in the trader surveys. We consider a wholesaler to be any trader sourcing commodities from suppliers in external markets. By this definition, wholesalers are the principal source of food inflow into the communities. </w:t>
      </w:r>
    </w:p>
    <w:p w14:paraId="6388A8ED" w14:textId="77777777" w:rsidR="00E40BEB" w:rsidRDefault="00E40BEB" w:rsidP="00836A79"/>
    <w:p w14:paraId="0CC58389" w14:textId="1727DF33" w:rsidR="00E40BEB" w:rsidRDefault="0055753B" w:rsidP="00836A79">
      <w:r>
        <w:t>T</w:t>
      </w:r>
      <w:r w:rsidR="001E42F9">
        <w:t xml:space="preserve">o preclude double counting of supply, we focus our analysis only on these wholesalers. Wholesalers in remote areas will be providing product not only to consumers but also to some retailers in their communities as well as retailers in satellite markets. Given the small sample of wholesalers - at times only one per </w:t>
      </w:r>
      <w:r w:rsidR="001E42F9">
        <w:lastRenderedPageBreak/>
        <w:t xml:space="preserve">community - we employ conservative assumptions in our calculations to generate a feasible lower bound of excess capacity of wholesalers. This excess capacity guides wholesalers’ abilities to meet cash-transfer induced demand increases without incurring increased marginal costs. </w:t>
      </w:r>
    </w:p>
    <w:p w14:paraId="1053E6C7" w14:textId="77777777" w:rsidR="00E40BEB" w:rsidRDefault="00E40BEB" w:rsidP="00836A79"/>
    <w:p w14:paraId="7DC9291F" w14:textId="284EB709" w:rsidR="00E40BEB" w:rsidRDefault="001E42F9" w:rsidP="00836A79">
      <w:r>
        <w:t>First</w:t>
      </w:r>
      <w:r w:rsidR="002E4AD6">
        <w:t>,</w:t>
      </w:r>
      <w:r>
        <w:t xml:space="preserve"> each wholesaler’s maximum total capacity can inform both their ability to meet increased demand and identify constraints to increasing supply. We asked sampled wholesalers to declare the maximum volumes of the top </w:t>
      </w:r>
      <w:r w:rsidR="002E4AD6">
        <w:t>three</w:t>
      </w:r>
      <w:r>
        <w:t xml:space="preserve"> commodities they sold that they could supply at any one time given their current access to storage, transport, credit, etc., without increasing prices. Using self-declared commodity specific sales prices, we then valued these amounts to estimate the value of the maximum capacity per wholesaler at any one time </w:t>
      </w:r>
      <w:r w:rsidRPr="000A035E">
        <w:t>(Column A</w:t>
      </w:r>
      <w:r>
        <w:t xml:space="preserve">).  </w:t>
      </w:r>
    </w:p>
    <w:p w14:paraId="293B7962" w14:textId="77777777" w:rsidR="00E40BEB" w:rsidRDefault="00E40BEB" w:rsidP="00836A79"/>
    <w:p w14:paraId="69AC6676" w14:textId="556BEC22" w:rsidR="00002369" w:rsidRDefault="001E42F9" w:rsidP="00AB0182">
      <w:pPr>
        <w:jc w:val="both"/>
      </w:pPr>
      <w:r>
        <w:t xml:space="preserve">We solicited, everything else held constant, the number of days traders needed in order to fully restock. Using a month as the relevant time span in which cash transfer impacts on the market are likely to bind, we then use this figure to generate the average maximum monthly frequency of restocking.  In order to account for unforeseen delays and bottlenecks that may arise due to a simultaneous increase in the demand for transport, for supply from external sources, and for credit we use our solicited restocking estimate and divide it in half to compute a lower bound estimate. For </w:t>
      </w:r>
      <w:proofErr w:type="spellStart"/>
      <w:r>
        <w:t>Dirib</w:t>
      </w:r>
      <w:proofErr w:type="spellEnd"/>
      <w:r>
        <w:t xml:space="preserve"> </w:t>
      </w:r>
      <w:proofErr w:type="spellStart"/>
      <w:r>
        <w:t>Gombo</w:t>
      </w:r>
      <w:proofErr w:type="spellEnd"/>
      <w:r>
        <w:t xml:space="preserve">, which does not have a single wholesaler, and whose wholesale market is therefore </w:t>
      </w:r>
      <w:proofErr w:type="spellStart"/>
      <w:r>
        <w:t>Marsabit</w:t>
      </w:r>
      <w:proofErr w:type="spellEnd"/>
      <w:r>
        <w:t xml:space="preserve"> town, we have used the supply capacity for </w:t>
      </w:r>
      <w:proofErr w:type="spellStart"/>
      <w:r>
        <w:t>Marsabit</w:t>
      </w:r>
      <w:proofErr w:type="spellEnd"/>
      <w:r>
        <w:t xml:space="preserve"> town. As Column B shows, </w:t>
      </w:r>
      <w:proofErr w:type="spellStart"/>
      <w:r>
        <w:t>Marsabit</w:t>
      </w:r>
      <w:proofErr w:type="spellEnd"/>
      <w:r>
        <w:t xml:space="preserve"> town, the primary market cent</w:t>
      </w:r>
      <w:r w:rsidR="001B19E9">
        <w:t>er</w:t>
      </w:r>
      <w:r>
        <w:t xml:space="preserve"> in the district, can restock about 5 times a month while North </w:t>
      </w:r>
      <w:proofErr w:type="spellStart"/>
      <w:r>
        <w:t>Horr</w:t>
      </w:r>
      <w:proofErr w:type="spellEnd"/>
      <w:r>
        <w:t>, the most remote town</w:t>
      </w:r>
      <w:r w:rsidR="001B19E9">
        <w:t>,</w:t>
      </w:r>
      <w:r>
        <w:t xml:space="preserve"> can only restock once a month.</w:t>
      </w:r>
    </w:p>
    <w:p w14:paraId="15E3B01C" w14:textId="77777777" w:rsidR="00E40BEB" w:rsidRDefault="00E40BEB" w:rsidP="00836A79"/>
    <w:p w14:paraId="5AE7E395" w14:textId="02E2E4B0" w:rsidR="00E40BEB" w:rsidRDefault="001E42F9" w:rsidP="00836A79">
      <w:r>
        <w:t>To generate the total community value of wholesaler monthly capacity, we multiply the maximum estimated one-off capacity of a single wholesaler by the monthly restocking frequency and by the number of wholesalers in the community (Column E). We then calculate the total value of average monthly sales to determine what the excess capacity is, and therefore, the ability of the market to absorb demand increases. We construct this variable by computing an average monthly value from the sum quarterly sales solicited from the traders and dividing by twelve. We then multiply this monthly average by the number of wholesalers in the community (Column F).  The estimated value of excess capacity, in Column G, is simply the ratio of maximum capacity to current sales</w:t>
      </w:r>
      <w:r w:rsidR="001B19E9">
        <w:t>,</w:t>
      </w:r>
      <w:r>
        <w:t xml:space="preserve"> the total value of monthly maximum capacity minus the total value of current monthly sales.</w:t>
      </w:r>
    </w:p>
    <w:p w14:paraId="0D12BAED" w14:textId="77777777" w:rsidR="001E42F9" w:rsidRDefault="001E42F9" w:rsidP="001E42F9"/>
    <w:p w14:paraId="2299C9E0" w14:textId="14C4B41F" w:rsidR="001E42F9" w:rsidRPr="00A4322F" w:rsidRDefault="001E42F9" w:rsidP="001E42F9">
      <w:pPr>
        <w:pStyle w:val="Caption"/>
        <w:rPr>
          <w:sz w:val="24"/>
          <w:szCs w:val="24"/>
        </w:rPr>
      </w:pPr>
      <w:r w:rsidRPr="009B4EED">
        <w:rPr>
          <w:sz w:val="24"/>
          <w:szCs w:val="24"/>
        </w:rPr>
        <w:t>Value of Maximum Possible Wholesale Supply Capacity of Top 3 commodities</w:t>
      </w:r>
    </w:p>
    <w:tbl>
      <w:tblPr>
        <w:tblW w:w="9038" w:type="dxa"/>
        <w:tblInd w:w="93" w:type="dxa"/>
        <w:tblLook w:val="0000" w:firstRow="0" w:lastRow="0" w:firstColumn="0" w:lastColumn="0" w:noHBand="0" w:noVBand="0"/>
      </w:tblPr>
      <w:tblGrid>
        <w:gridCol w:w="1194"/>
        <w:gridCol w:w="1296"/>
        <w:gridCol w:w="1135"/>
        <w:gridCol w:w="1044"/>
        <w:gridCol w:w="1133"/>
        <w:gridCol w:w="1106"/>
        <w:gridCol w:w="1038"/>
        <w:gridCol w:w="1092"/>
      </w:tblGrid>
      <w:tr w:rsidR="001E42F9" w:rsidRPr="004D096A" w14:paraId="7186C52D" w14:textId="77777777">
        <w:trPr>
          <w:trHeight w:val="255"/>
        </w:trPr>
        <w:tc>
          <w:tcPr>
            <w:tcW w:w="1194" w:type="dxa"/>
            <w:tcBorders>
              <w:top w:val="nil"/>
              <w:left w:val="nil"/>
              <w:bottom w:val="single" w:sz="4" w:space="0" w:color="auto"/>
              <w:right w:val="nil"/>
            </w:tcBorders>
            <w:shd w:val="clear" w:color="auto" w:fill="auto"/>
            <w:noWrap/>
            <w:vAlign w:val="bottom"/>
          </w:tcPr>
          <w:p w14:paraId="00E25D90" w14:textId="77777777" w:rsidR="001E42F9" w:rsidRPr="004D096A" w:rsidRDefault="001E42F9" w:rsidP="00895606">
            <w:pPr>
              <w:rPr>
                <w:sz w:val="16"/>
                <w:szCs w:val="16"/>
              </w:rPr>
            </w:pPr>
            <w:bookmarkStart w:id="4" w:name="_Hlk238425325"/>
          </w:p>
        </w:tc>
        <w:tc>
          <w:tcPr>
            <w:tcW w:w="1296" w:type="dxa"/>
            <w:tcBorders>
              <w:top w:val="nil"/>
              <w:left w:val="nil"/>
              <w:bottom w:val="single" w:sz="4" w:space="0" w:color="auto"/>
              <w:right w:val="nil"/>
            </w:tcBorders>
            <w:shd w:val="clear" w:color="auto" w:fill="auto"/>
            <w:noWrap/>
            <w:vAlign w:val="center"/>
          </w:tcPr>
          <w:p w14:paraId="072BFFDC" w14:textId="77777777" w:rsidR="001E42F9" w:rsidRPr="004D096A" w:rsidRDefault="001E42F9" w:rsidP="00895606">
            <w:pPr>
              <w:ind w:right="252"/>
              <w:jc w:val="center"/>
              <w:rPr>
                <w:b/>
                <w:bCs/>
                <w:sz w:val="16"/>
                <w:szCs w:val="16"/>
              </w:rPr>
            </w:pPr>
            <w:r w:rsidRPr="004D096A">
              <w:rPr>
                <w:b/>
                <w:bCs/>
                <w:sz w:val="16"/>
                <w:szCs w:val="16"/>
              </w:rPr>
              <w:t>Value of max one-off capacity per wholesaler</w:t>
            </w:r>
          </w:p>
        </w:tc>
        <w:tc>
          <w:tcPr>
            <w:tcW w:w="1115" w:type="dxa"/>
            <w:tcBorders>
              <w:top w:val="nil"/>
              <w:left w:val="nil"/>
              <w:bottom w:val="single" w:sz="4" w:space="0" w:color="auto"/>
              <w:right w:val="nil"/>
            </w:tcBorders>
            <w:shd w:val="clear" w:color="auto" w:fill="auto"/>
            <w:noWrap/>
            <w:vAlign w:val="center"/>
          </w:tcPr>
          <w:p w14:paraId="3E034449" w14:textId="77777777" w:rsidR="001E42F9" w:rsidRPr="004D096A" w:rsidRDefault="001E42F9" w:rsidP="00895606">
            <w:pPr>
              <w:jc w:val="center"/>
              <w:rPr>
                <w:b/>
                <w:bCs/>
                <w:sz w:val="16"/>
                <w:szCs w:val="16"/>
              </w:rPr>
            </w:pPr>
            <w:r w:rsidRPr="004D096A">
              <w:rPr>
                <w:b/>
                <w:bCs/>
                <w:sz w:val="16"/>
                <w:szCs w:val="16"/>
              </w:rPr>
              <w:t>Max monthly restock frequency/2</w:t>
            </w:r>
          </w:p>
        </w:tc>
        <w:tc>
          <w:tcPr>
            <w:tcW w:w="1044" w:type="dxa"/>
            <w:tcBorders>
              <w:top w:val="nil"/>
              <w:left w:val="nil"/>
              <w:bottom w:val="single" w:sz="4" w:space="0" w:color="auto"/>
              <w:right w:val="nil"/>
            </w:tcBorders>
            <w:shd w:val="clear" w:color="auto" w:fill="auto"/>
            <w:noWrap/>
            <w:vAlign w:val="center"/>
          </w:tcPr>
          <w:p w14:paraId="1E5F6DB0" w14:textId="77777777" w:rsidR="001E42F9" w:rsidRPr="004D096A" w:rsidRDefault="001E42F9" w:rsidP="00895606">
            <w:pPr>
              <w:jc w:val="center"/>
              <w:rPr>
                <w:b/>
                <w:bCs/>
                <w:sz w:val="16"/>
                <w:szCs w:val="16"/>
              </w:rPr>
            </w:pPr>
            <w:r w:rsidRPr="004D096A">
              <w:rPr>
                <w:b/>
                <w:bCs/>
                <w:sz w:val="16"/>
                <w:szCs w:val="16"/>
              </w:rPr>
              <w:t>Value of max monthly capacity per wholesaler</w:t>
            </w:r>
          </w:p>
        </w:tc>
        <w:tc>
          <w:tcPr>
            <w:tcW w:w="1133" w:type="dxa"/>
            <w:tcBorders>
              <w:top w:val="nil"/>
              <w:left w:val="nil"/>
              <w:bottom w:val="single" w:sz="4" w:space="0" w:color="auto"/>
              <w:right w:val="nil"/>
            </w:tcBorders>
            <w:shd w:val="clear" w:color="auto" w:fill="auto"/>
            <w:noWrap/>
            <w:vAlign w:val="center"/>
          </w:tcPr>
          <w:p w14:paraId="4DFFCDE8" w14:textId="77777777" w:rsidR="001E42F9" w:rsidRPr="004D096A" w:rsidRDefault="001E42F9" w:rsidP="00895606">
            <w:pPr>
              <w:jc w:val="center"/>
              <w:rPr>
                <w:b/>
                <w:bCs/>
                <w:sz w:val="16"/>
                <w:szCs w:val="16"/>
              </w:rPr>
            </w:pPr>
            <w:r w:rsidRPr="004D096A">
              <w:rPr>
                <w:b/>
                <w:bCs/>
                <w:sz w:val="16"/>
                <w:szCs w:val="16"/>
              </w:rPr>
              <w:t>No of wholesalers</w:t>
            </w:r>
          </w:p>
        </w:tc>
        <w:tc>
          <w:tcPr>
            <w:tcW w:w="1106" w:type="dxa"/>
            <w:tcBorders>
              <w:top w:val="nil"/>
              <w:left w:val="nil"/>
              <w:bottom w:val="single" w:sz="4" w:space="0" w:color="auto"/>
              <w:right w:val="nil"/>
            </w:tcBorders>
            <w:shd w:val="clear" w:color="auto" w:fill="auto"/>
            <w:noWrap/>
            <w:vAlign w:val="center"/>
          </w:tcPr>
          <w:p w14:paraId="698B165E" w14:textId="77777777" w:rsidR="001E42F9" w:rsidRPr="004D096A" w:rsidRDefault="001E42F9" w:rsidP="00895606">
            <w:pPr>
              <w:jc w:val="center"/>
              <w:rPr>
                <w:b/>
                <w:bCs/>
                <w:sz w:val="16"/>
                <w:szCs w:val="16"/>
              </w:rPr>
            </w:pPr>
            <w:r w:rsidRPr="004D096A">
              <w:rPr>
                <w:b/>
                <w:bCs/>
                <w:sz w:val="16"/>
                <w:szCs w:val="16"/>
              </w:rPr>
              <w:t>Total value of wholesaler monthly capacity</w:t>
            </w:r>
          </w:p>
        </w:tc>
        <w:tc>
          <w:tcPr>
            <w:tcW w:w="1044" w:type="dxa"/>
            <w:tcBorders>
              <w:top w:val="nil"/>
              <w:left w:val="nil"/>
              <w:bottom w:val="single" w:sz="4" w:space="0" w:color="auto"/>
              <w:right w:val="nil"/>
            </w:tcBorders>
            <w:vAlign w:val="center"/>
          </w:tcPr>
          <w:p w14:paraId="17E6133B" w14:textId="77777777" w:rsidR="001E42F9" w:rsidRPr="004D096A" w:rsidRDefault="001E42F9" w:rsidP="00895606">
            <w:pPr>
              <w:jc w:val="center"/>
              <w:rPr>
                <w:b/>
                <w:bCs/>
                <w:sz w:val="16"/>
                <w:szCs w:val="16"/>
              </w:rPr>
            </w:pPr>
            <w:r w:rsidRPr="004D096A">
              <w:rPr>
                <w:b/>
                <w:bCs/>
                <w:sz w:val="16"/>
                <w:szCs w:val="16"/>
              </w:rPr>
              <w:t>Total value of current monthly wholesaler sales</w:t>
            </w:r>
          </w:p>
        </w:tc>
        <w:tc>
          <w:tcPr>
            <w:tcW w:w="1106" w:type="dxa"/>
            <w:tcBorders>
              <w:top w:val="nil"/>
              <w:left w:val="nil"/>
              <w:bottom w:val="single" w:sz="4" w:space="0" w:color="auto"/>
              <w:right w:val="nil"/>
            </w:tcBorders>
            <w:vAlign w:val="center"/>
          </w:tcPr>
          <w:p w14:paraId="707C744E" w14:textId="77777777" w:rsidR="001E42F9" w:rsidRPr="004D096A" w:rsidRDefault="001E42F9" w:rsidP="00895606">
            <w:pPr>
              <w:jc w:val="center"/>
              <w:rPr>
                <w:b/>
                <w:bCs/>
                <w:sz w:val="16"/>
                <w:szCs w:val="16"/>
              </w:rPr>
            </w:pPr>
            <w:bookmarkStart w:id="5" w:name="OLE_LINK4"/>
            <w:bookmarkStart w:id="6" w:name="OLE_LINK5"/>
            <w:r w:rsidRPr="004D096A">
              <w:rPr>
                <w:b/>
                <w:bCs/>
                <w:sz w:val="16"/>
                <w:szCs w:val="16"/>
              </w:rPr>
              <w:t>Value of Excess capacity</w:t>
            </w:r>
            <w:bookmarkEnd w:id="5"/>
            <w:bookmarkEnd w:id="6"/>
          </w:p>
        </w:tc>
      </w:tr>
      <w:tr w:rsidR="001E42F9" w:rsidRPr="004D096A" w14:paraId="4ABFED56" w14:textId="77777777">
        <w:trPr>
          <w:trHeight w:val="255"/>
        </w:trPr>
        <w:tc>
          <w:tcPr>
            <w:tcW w:w="1194" w:type="dxa"/>
            <w:tcBorders>
              <w:top w:val="single" w:sz="4" w:space="0" w:color="auto"/>
              <w:left w:val="nil"/>
              <w:bottom w:val="nil"/>
              <w:right w:val="nil"/>
            </w:tcBorders>
            <w:shd w:val="clear" w:color="auto" w:fill="auto"/>
            <w:noWrap/>
            <w:vAlign w:val="bottom"/>
          </w:tcPr>
          <w:p w14:paraId="5A473E77" w14:textId="77777777" w:rsidR="001E42F9" w:rsidRPr="004D096A" w:rsidRDefault="001E42F9" w:rsidP="00895606">
            <w:pPr>
              <w:rPr>
                <w:sz w:val="16"/>
                <w:szCs w:val="16"/>
              </w:rPr>
            </w:pPr>
          </w:p>
        </w:tc>
        <w:tc>
          <w:tcPr>
            <w:tcW w:w="1296" w:type="dxa"/>
            <w:tcBorders>
              <w:top w:val="single" w:sz="4" w:space="0" w:color="auto"/>
              <w:left w:val="nil"/>
              <w:bottom w:val="nil"/>
              <w:right w:val="nil"/>
            </w:tcBorders>
            <w:shd w:val="clear" w:color="auto" w:fill="auto"/>
            <w:noWrap/>
            <w:vAlign w:val="center"/>
          </w:tcPr>
          <w:p w14:paraId="7A344374" w14:textId="77777777" w:rsidR="001E42F9" w:rsidRPr="004D096A" w:rsidRDefault="001E42F9" w:rsidP="00895606">
            <w:pPr>
              <w:jc w:val="center"/>
              <w:rPr>
                <w:sz w:val="16"/>
                <w:szCs w:val="16"/>
              </w:rPr>
            </w:pPr>
            <w:r w:rsidRPr="004D096A">
              <w:rPr>
                <w:sz w:val="16"/>
                <w:szCs w:val="16"/>
              </w:rPr>
              <w:t>A</w:t>
            </w:r>
          </w:p>
        </w:tc>
        <w:tc>
          <w:tcPr>
            <w:tcW w:w="1115" w:type="dxa"/>
            <w:tcBorders>
              <w:top w:val="single" w:sz="4" w:space="0" w:color="auto"/>
              <w:left w:val="nil"/>
              <w:bottom w:val="nil"/>
              <w:right w:val="nil"/>
            </w:tcBorders>
            <w:shd w:val="clear" w:color="auto" w:fill="auto"/>
            <w:noWrap/>
            <w:vAlign w:val="center"/>
          </w:tcPr>
          <w:p w14:paraId="420CAC61" w14:textId="77777777" w:rsidR="001E42F9" w:rsidRPr="004D096A" w:rsidRDefault="001E42F9" w:rsidP="00895606">
            <w:pPr>
              <w:jc w:val="center"/>
              <w:rPr>
                <w:sz w:val="16"/>
                <w:szCs w:val="16"/>
              </w:rPr>
            </w:pPr>
            <w:r w:rsidRPr="004D096A">
              <w:rPr>
                <w:sz w:val="16"/>
                <w:szCs w:val="16"/>
              </w:rPr>
              <w:t>B*</w:t>
            </w:r>
          </w:p>
        </w:tc>
        <w:tc>
          <w:tcPr>
            <w:tcW w:w="1044" w:type="dxa"/>
            <w:tcBorders>
              <w:top w:val="single" w:sz="4" w:space="0" w:color="auto"/>
              <w:left w:val="nil"/>
              <w:bottom w:val="nil"/>
              <w:right w:val="nil"/>
            </w:tcBorders>
            <w:shd w:val="clear" w:color="auto" w:fill="auto"/>
            <w:noWrap/>
            <w:vAlign w:val="center"/>
          </w:tcPr>
          <w:p w14:paraId="7B3DED29" w14:textId="77777777" w:rsidR="001E42F9" w:rsidRPr="004D096A" w:rsidRDefault="001E42F9" w:rsidP="00895606">
            <w:pPr>
              <w:jc w:val="center"/>
              <w:rPr>
                <w:sz w:val="16"/>
                <w:szCs w:val="16"/>
              </w:rPr>
            </w:pPr>
            <w:r w:rsidRPr="004D096A">
              <w:rPr>
                <w:sz w:val="16"/>
                <w:szCs w:val="16"/>
              </w:rPr>
              <w:t>C=</w:t>
            </w:r>
            <w:proofErr w:type="spellStart"/>
            <w:r w:rsidRPr="004D096A">
              <w:rPr>
                <w:sz w:val="16"/>
                <w:szCs w:val="16"/>
              </w:rPr>
              <w:t>AxB</w:t>
            </w:r>
            <w:proofErr w:type="spellEnd"/>
          </w:p>
        </w:tc>
        <w:tc>
          <w:tcPr>
            <w:tcW w:w="1133" w:type="dxa"/>
            <w:tcBorders>
              <w:top w:val="single" w:sz="4" w:space="0" w:color="auto"/>
              <w:left w:val="nil"/>
              <w:bottom w:val="nil"/>
              <w:right w:val="nil"/>
            </w:tcBorders>
            <w:shd w:val="clear" w:color="auto" w:fill="auto"/>
            <w:noWrap/>
            <w:vAlign w:val="center"/>
          </w:tcPr>
          <w:p w14:paraId="11C03BA1" w14:textId="77777777" w:rsidR="001E42F9" w:rsidRPr="004D096A" w:rsidRDefault="001E42F9" w:rsidP="00895606">
            <w:pPr>
              <w:jc w:val="center"/>
              <w:rPr>
                <w:sz w:val="16"/>
                <w:szCs w:val="16"/>
              </w:rPr>
            </w:pPr>
            <w:r w:rsidRPr="004D096A">
              <w:rPr>
                <w:sz w:val="16"/>
                <w:szCs w:val="16"/>
              </w:rPr>
              <w:t>D</w:t>
            </w:r>
          </w:p>
        </w:tc>
        <w:tc>
          <w:tcPr>
            <w:tcW w:w="1106" w:type="dxa"/>
            <w:tcBorders>
              <w:top w:val="single" w:sz="4" w:space="0" w:color="auto"/>
              <w:left w:val="nil"/>
              <w:bottom w:val="nil"/>
              <w:right w:val="nil"/>
            </w:tcBorders>
            <w:shd w:val="clear" w:color="auto" w:fill="auto"/>
            <w:noWrap/>
            <w:vAlign w:val="center"/>
          </w:tcPr>
          <w:p w14:paraId="16BC3B2D" w14:textId="77777777" w:rsidR="001E42F9" w:rsidRPr="004D096A" w:rsidRDefault="001E42F9" w:rsidP="00895606">
            <w:pPr>
              <w:jc w:val="center"/>
              <w:rPr>
                <w:sz w:val="16"/>
                <w:szCs w:val="16"/>
              </w:rPr>
            </w:pPr>
            <w:r w:rsidRPr="004D096A">
              <w:rPr>
                <w:sz w:val="16"/>
                <w:szCs w:val="16"/>
              </w:rPr>
              <w:t>E=</w:t>
            </w:r>
            <w:proofErr w:type="spellStart"/>
            <w:r w:rsidRPr="004D096A">
              <w:rPr>
                <w:sz w:val="16"/>
                <w:szCs w:val="16"/>
              </w:rPr>
              <w:t>CxD</w:t>
            </w:r>
            <w:proofErr w:type="spellEnd"/>
          </w:p>
        </w:tc>
        <w:tc>
          <w:tcPr>
            <w:tcW w:w="1044" w:type="dxa"/>
            <w:tcBorders>
              <w:top w:val="single" w:sz="4" w:space="0" w:color="auto"/>
              <w:left w:val="nil"/>
              <w:bottom w:val="nil"/>
              <w:right w:val="nil"/>
            </w:tcBorders>
            <w:vAlign w:val="center"/>
          </w:tcPr>
          <w:p w14:paraId="4E36DCDA" w14:textId="77777777" w:rsidR="001E42F9" w:rsidRPr="004D096A" w:rsidRDefault="001E42F9" w:rsidP="00895606">
            <w:pPr>
              <w:jc w:val="center"/>
              <w:rPr>
                <w:sz w:val="16"/>
                <w:szCs w:val="16"/>
              </w:rPr>
            </w:pPr>
            <w:r w:rsidRPr="004D096A">
              <w:rPr>
                <w:sz w:val="16"/>
                <w:szCs w:val="16"/>
              </w:rPr>
              <w:t>F**</w:t>
            </w:r>
          </w:p>
        </w:tc>
        <w:tc>
          <w:tcPr>
            <w:tcW w:w="1106" w:type="dxa"/>
            <w:tcBorders>
              <w:top w:val="single" w:sz="4" w:space="0" w:color="auto"/>
              <w:left w:val="nil"/>
              <w:bottom w:val="nil"/>
              <w:right w:val="nil"/>
            </w:tcBorders>
            <w:vAlign w:val="center"/>
          </w:tcPr>
          <w:p w14:paraId="29C3772E" w14:textId="77777777" w:rsidR="001E42F9" w:rsidRPr="004D096A" w:rsidRDefault="001E42F9" w:rsidP="00895606">
            <w:pPr>
              <w:jc w:val="center"/>
              <w:rPr>
                <w:sz w:val="16"/>
                <w:szCs w:val="16"/>
              </w:rPr>
            </w:pPr>
            <w:r w:rsidRPr="004D096A">
              <w:rPr>
                <w:sz w:val="16"/>
                <w:szCs w:val="16"/>
              </w:rPr>
              <w:t>G=E-F</w:t>
            </w:r>
          </w:p>
        </w:tc>
      </w:tr>
      <w:tr w:rsidR="001E42F9" w:rsidRPr="004D096A" w14:paraId="6BE9CF4E" w14:textId="77777777">
        <w:trPr>
          <w:trHeight w:val="255"/>
        </w:trPr>
        <w:tc>
          <w:tcPr>
            <w:tcW w:w="1194" w:type="dxa"/>
            <w:tcBorders>
              <w:top w:val="nil"/>
              <w:left w:val="nil"/>
              <w:bottom w:val="nil"/>
              <w:right w:val="nil"/>
            </w:tcBorders>
            <w:shd w:val="clear" w:color="auto" w:fill="auto"/>
            <w:noWrap/>
            <w:vAlign w:val="bottom"/>
          </w:tcPr>
          <w:p w14:paraId="4000DCFA" w14:textId="77777777" w:rsidR="001E42F9" w:rsidRPr="004D096A" w:rsidRDefault="001E42F9" w:rsidP="00895606">
            <w:pPr>
              <w:rPr>
                <w:b/>
                <w:i/>
                <w:sz w:val="16"/>
                <w:szCs w:val="16"/>
              </w:rPr>
            </w:pPr>
            <w:bookmarkStart w:id="7" w:name="_Hlk253045271"/>
            <w:proofErr w:type="spellStart"/>
            <w:r w:rsidRPr="004D096A">
              <w:rPr>
                <w:b/>
                <w:i/>
                <w:sz w:val="16"/>
                <w:szCs w:val="16"/>
              </w:rPr>
              <w:t>Marsabit</w:t>
            </w:r>
            <w:proofErr w:type="spellEnd"/>
            <w:r w:rsidRPr="004D096A">
              <w:rPr>
                <w:b/>
                <w:i/>
                <w:sz w:val="16"/>
                <w:szCs w:val="16"/>
              </w:rPr>
              <w:t xml:space="preserve"> Town</w:t>
            </w:r>
            <w:r w:rsidRPr="00D416EF">
              <w:rPr>
                <w:sz w:val="16"/>
                <w:szCs w:val="16"/>
              </w:rPr>
              <w:t>***</w:t>
            </w:r>
          </w:p>
        </w:tc>
        <w:tc>
          <w:tcPr>
            <w:tcW w:w="1296" w:type="dxa"/>
            <w:tcBorders>
              <w:top w:val="nil"/>
              <w:left w:val="nil"/>
              <w:bottom w:val="nil"/>
              <w:right w:val="nil"/>
            </w:tcBorders>
            <w:shd w:val="clear" w:color="auto" w:fill="auto"/>
            <w:noWrap/>
            <w:vAlign w:val="bottom"/>
          </w:tcPr>
          <w:p w14:paraId="7C2A2966" w14:textId="77777777" w:rsidR="001E42F9" w:rsidRPr="004D096A" w:rsidRDefault="001E42F9" w:rsidP="00895606">
            <w:pPr>
              <w:jc w:val="right"/>
              <w:rPr>
                <w:sz w:val="16"/>
                <w:szCs w:val="16"/>
              </w:rPr>
            </w:pPr>
            <w:r w:rsidRPr="004D096A">
              <w:rPr>
                <w:sz w:val="16"/>
                <w:szCs w:val="16"/>
              </w:rPr>
              <w:t>4,056,250</w:t>
            </w:r>
          </w:p>
        </w:tc>
        <w:tc>
          <w:tcPr>
            <w:tcW w:w="1115" w:type="dxa"/>
            <w:tcBorders>
              <w:top w:val="nil"/>
              <w:left w:val="nil"/>
              <w:bottom w:val="nil"/>
              <w:right w:val="nil"/>
            </w:tcBorders>
            <w:shd w:val="clear" w:color="auto" w:fill="auto"/>
            <w:noWrap/>
            <w:vAlign w:val="bottom"/>
          </w:tcPr>
          <w:p w14:paraId="7883324D" w14:textId="77777777" w:rsidR="001E42F9" w:rsidRPr="004D096A" w:rsidRDefault="001E42F9" w:rsidP="00895606">
            <w:pPr>
              <w:jc w:val="right"/>
              <w:rPr>
                <w:sz w:val="16"/>
                <w:szCs w:val="16"/>
              </w:rPr>
            </w:pPr>
            <w:r w:rsidRPr="004D096A">
              <w:rPr>
                <w:sz w:val="16"/>
                <w:szCs w:val="16"/>
              </w:rPr>
              <w:t>5.0</w:t>
            </w:r>
          </w:p>
        </w:tc>
        <w:tc>
          <w:tcPr>
            <w:tcW w:w="1044" w:type="dxa"/>
            <w:tcBorders>
              <w:top w:val="nil"/>
              <w:left w:val="nil"/>
              <w:bottom w:val="nil"/>
              <w:right w:val="nil"/>
            </w:tcBorders>
            <w:shd w:val="clear" w:color="auto" w:fill="auto"/>
            <w:noWrap/>
            <w:vAlign w:val="bottom"/>
          </w:tcPr>
          <w:p w14:paraId="5C2DA4BD" w14:textId="77777777" w:rsidR="001E42F9" w:rsidRPr="004D096A" w:rsidRDefault="001E42F9" w:rsidP="00895606">
            <w:pPr>
              <w:jc w:val="right"/>
              <w:rPr>
                <w:sz w:val="16"/>
                <w:szCs w:val="16"/>
              </w:rPr>
            </w:pPr>
            <w:r w:rsidRPr="004D096A">
              <w:rPr>
                <w:sz w:val="16"/>
                <w:szCs w:val="16"/>
              </w:rPr>
              <w:t>20,281,250</w:t>
            </w:r>
          </w:p>
        </w:tc>
        <w:tc>
          <w:tcPr>
            <w:tcW w:w="1133" w:type="dxa"/>
            <w:tcBorders>
              <w:top w:val="nil"/>
              <w:left w:val="nil"/>
              <w:bottom w:val="nil"/>
              <w:right w:val="nil"/>
            </w:tcBorders>
            <w:shd w:val="clear" w:color="auto" w:fill="auto"/>
            <w:noWrap/>
            <w:vAlign w:val="bottom"/>
          </w:tcPr>
          <w:p w14:paraId="5E15CEBC" w14:textId="77777777" w:rsidR="001E42F9" w:rsidRPr="004D096A" w:rsidRDefault="001E42F9" w:rsidP="00895606">
            <w:pPr>
              <w:jc w:val="right"/>
              <w:rPr>
                <w:sz w:val="16"/>
                <w:szCs w:val="16"/>
              </w:rPr>
            </w:pPr>
            <w:r w:rsidRPr="004D096A">
              <w:rPr>
                <w:sz w:val="16"/>
                <w:szCs w:val="16"/>
              </w:rPr>
              <w:t>10</w:t>
            </w:r>
          </w:p>
        </w:tc>
        <w:tc>
          <w:tcPr>
            <w:tcW w:w="1106" w:type="dxa"/>
            <w:tcBorders>
              <w:top w:val="nil"/>
              <w:left w:val="nil"/>
              <w:bottom w:val="nil"/>
              <w:right w:val="nil"/>
            </w:tcBorders>
            <w:shd w:val="clear" w:color="auto" w:fill="auto"/>
            <w:noWrap/>
            <w:vAlign w:val="bottom"/>
          </w:tcPr>
          <w:p w14:paraId="05A8E79B" w14:textId="77777777" w:rsidR="001E42F9" w:rsidRPr="004D096A" w:rsidRDefault="001E42F9" w:rsidP="00895606">
            <w:pPr>
              <w:jc w:val="right"/>
              <w:rPr>
                <w:sz w:val="16"/>
                <w:szCs w:val="16"/>
              </w:rPr>
            </w:pPr>
            <w:r w:rsidRPr="004D096A">
              <w:rPr>
                <w:sz w:val="16"/>
                <w:szCs w:val="16"/>
              </w:rPr>
              <w:t>202,812,500</w:t>
            </w:r>
          </w:p>
        </w:tc>
        <w:tc>
          <w:tcPr>
            <w:tcW w:w="1044" w:type="dxa"/>
            <w:tcBorders>
              <w:top w:val="nil"/>
              <w:left w:val="nil"/>
              <w:bottom w:val="nil"/>
              <w:right w:val="nil"/>
            </w:tcBorders>
            <w:vAlign w:val="bottom"/>
          </w:tcPr>
          <w:p w14:paraId="3BC9C89A" w14:textId="77777777" w:rsidR="001E42F9" w:rsidRPr="004D096A" w:rsidRDefault="001E42F9" w:rsidP="00895606">
            <w:pPr>
              <w:jc w:val="right"/>
              <w:rPr>
                <w:sz w:val="16"/>
                <w:szCs w:val="16"/>
              </w:rPr>
            </w:pPr>
            <w:r w:rsidRPr="004D096A">
              <w:rPr>
                <w:sz w:val="16"/>
                <w:szCs w:val="16"/>
              </w:rPr>
              <w:t>21,975,000</w:t>
            </w:r>
          </w:p>
        </w:tc>
        <w:tc>
          <w:tcPr>
            <w:tcW w:w="1106" w:type="dxa"/>
            <w:tcBorders>
              <w:top w:val="nil"/>
              <w:left w:val="nil"/>
              <w:bottom w:val="nil"/>
              <w:right w:val="nil"/>
            </w:tcBorders>
            <w:vAlign w:val="bottom"/>
          </w:tcPr>
          <w:p w14:paraId="472184A0" w14:textId="77777777" w:rsidR="001E42F9" w:rsidRPr="004D096A" w:rsidRDefault="001E42F9" w:rsidP="00895606">
            <w:pPr>
              <w:jc w:val="right"/>
              <w:rPr>
                <w:sz w:val="16"/>
                <w:szCs w:val="16"/>
              </w:rPr>
            </w:pPr>
            <w:r w:rsidRPr="004D096A">
              <w:rPr>
                <w:sz w:val="16"/>
                <w:szCs w:val="16"/>
              </w:rPr>
              <w:t>180,837,500</w:t>
            </w:r>
          </w:p>
        </w:tc>
      </w:tr>
      <w:tr w:rsidR="001E42F9" w:rsidRPr="004D096A" w14:paraId="7806A69C" w14:textId="77777777">
        <w:trPr>
          <w:trHeight w:val="255"/>
        </w:trPr>
        <w:tc>
          <w:tcPr>
            <w:tcW w:w="1194" w:type="dxa"/>
            <w:tcBorders>
              <w:top w:val="nil"/>
              <w:left w:val="nil"/>
              <w:bottom w:val="nil"/>
              <w:right w:val="nil"/>
            </w:tcBorders>
            <w:shd w:val="clear" w:color="auto" w:fill="auto"/>
            <w:noWrap/>
            <w:vAlign w:val="bottom"/>
          </w:tcPr>
          <w:p w14:paraId="03C2D3BB" w14:textId="77777777" w:rsidR="001E42F9" w:rsidRPr="004D096A" w:rsidRDefault="001E42F9" w:rsidP="00895606">
            <w:pPr>
              <w:rPr>
                <w:b/>
                <w:i/>
                <w:sz w:val="16"/>
                <w:szCs w:val="16"/>
              </w:rPr>
            </w:pPr>
            <w:proofErr w:type="spellStart"/>
            <w:r w:rsidRPr="004D096A">
              <w:rPr>
                <w:b/>
                <w:i/>
                <w:sz w:val="16"/>
                <w:szCs w:val="16"/>
              </w:rPr>
              <w:lastRenderedPageBreak/>
              <w:t>Kargi</w:t>
            </w:r>
            <w:proofErr w:type="spellEnd"/>
          </w:p>
        </w:tc>
        <w:tc>
          <w:tcPr>
            <w:tcW w:w="1296" w:type="dxa"/>
            <w:tcBorders>
              <w:top w:val="nil"/>
              <w:left w:val="nil"/>
              <w:bottom w:val="nil"/>
              <w:right w:val="nil"/>
            </w:tcBorders>
            <w:shd w:val="clear" w:color="auto" w:fill="auto"/>
            <w:noWrap/>
            <w:vAlign w:val="bottom"/>
          </w:tcPr>
          <w:p w14:paraId="64417217" w14:textId="77777777" w:rsidR="001E42F9" w:rsidRPr="004D096A" w:rsidRDefault="001E42F9" w:rsidP="00895606">
            <w:pPr>
              <w:jc w:val="right"/>
              <w:rPr>
                <w:sz w:val="16"/>
                <w:szCs w:val="16"/>
              </w:rPr>
            </w:pPr>
            <w:r w:rsidRPr="004D096A">
              <w:rPr>
                <w:sz w:val="16"/>
                <w:szCs w:val="16"/>
              </w:rPr>
              <w:t>637,000</w:t>
            </w:r>
          </w:p>
        </w:tc>
        <w:tc>
          <w:tcPr>
            <w:tcW w:w="1115" w:type="dxa"/>
            <w:tcBorders>
              <w:top w:val="nil"/>
              <w:left w:val="nil"/>
              <w:bottom w:val="nil"/>
              <w:right w:val="nil"/>
            </w:tcBorders>
            <w:shd w:val="clear" w:color="auto" w:fill="auto"/>
            <w:noWrap/>
            <w:vAlign w:val="bottom"/>
          </w:tcPr>
          <w:p w14:paraId="3DC2CF4C" w14:textId="77777777" w:rsidR="001E42F9" w:rsidRPr="004D096A" w:rsidRDefault="001E42F9" w:rsidP="00895606">
            <w:pPr>
              <w:jc w:val="right"/>
              <w:rPr>
                <w:sz w:val="16"/>
                <w:szCs w:val="16"/>
              </w:rPr>
            </w:pPr>
            <w:r w:rsidRPr="004D096A">
              <w:rPr>
                <w:sz w:val="16"/>
                <w:szCs w:val="16"/>
              </w:rPr>
              <w:t>4.0</w:t>
            </w:r>
          </w:p>
        </w:tc>
        <w:tc>
          <w:tcPr>
            <w:tcW w:w="1044" w:type="dxa"/>
            <w:tcBorders>
              <w:top w:val="nil"/>
              <w:left w:val="nil"/>
              <w:bottom w:val="nil"/>
              <w:right w:val="nil"/>
            </w:tcBorders>
            <w:shd w:val="clear" w:color="auto" w:fill="auto"/>
            <w:noWrap/>
            <w:vAlign w:val="bottom"/>
          </w:tcPr>
          <w:p w14:paraId="75976282" w14:textId="77777777" w:rsidR="001E42F9" w:rsidRPr="004D096A" w:rsidRDefault="001E42F9" w:rsidP="00895606">
            <w:pPr>
              <w:jc w:val="right"/>
              <w:rPr>
                <w:sz w:val="16"/>
                <w:szCs w:val="16"/>
              </w:rPr>
            </w:pPr>
            <w:r w:rsidRPr="004D096A">
              <w:rPr>
                <w:sz w:val="16"/>
                <w:szCs w:val="16"/>
              </w:rPr>
              <w:t>2,548,000</w:t>
            </w:r>
          </w:p>
        </w:tc>
        <w:tc>
          <w:tcPr>
            <w:tcW w:w="1133" w:type="dxa"/>
            <w:tcBorders>
              <w:top w:val="nil"/>
              <w:left w:val="nil"/>
              <w:bottom w:val="nil"/>
              <w:right w:val="nil"/>
            </w:tcBorders>
            <w:shd w:val="clear" w:color="auto" w:fill="auto"/>
            <w:noWrap/>
            <w:vAlign w:val="bottom"/>
          </w:tcPr>
          <w:p w14:paraId="4BAB1581" w14:textId="77777777" w:rsidR="001E42F9" w:rsidRPr="004D096A" w:rsidRDefault="001E42F9" w:rsidP="00895606">
            <w:pPr>
              <w:jc w:val="right"/>
              <w:rPr>
                <w:sz w:val="16"/>
                <w:szCs w:val="16"/>
              </w:rPr>
            </w:pPr>
            <w:r w:rsidRPr="004D096A">
              <w:rPr>
                <w:sz w:val="16"/>
                <w:szCs w:val="16"/>
              </w:rPr>
              <w:t>4</w:t>
            </w:r>
          </w:p>
        </w:tc>
        <w:tc>
          <w:tcPr>
            <w:tcW w:w="1106" w:type="dxa"/>
            <w:tcBorders>
              <w:top w:val="nil"/>
              <w:left w:val="nil"/>
              <w:bottom w:val="nil"/>
              <w:right w:val="nil"/>
            </w:tcBorders>
            <w:shd w:val="clear" w:color="auto" w:fill="auto"/>
            <w:noWrap/>
            <w:vAlign w:val="bottom"/>
          </w:tcPr>
          <w:p w14:paraId="7D64CE80" w14:textId="77777777" w:rsidR="001E42F9" w:rsidRPr="004D096A" w:rsidRDefault="001E42F9" w:rsidP="00895606">
            <w:pPr>
              <w:jc w:val="right"/>
              <w:rPr>
                <w:sz w:val="16"/>
                <w:szCs w:val="16"/>
              </w:rPr>
            </w:pPr>
            <w:r w:rsidRPr="004D096A">
              <w:rPr>
                <w:sz w:val="16"/>
                <w:szCs w:val="16"/>
              </w:rPr>
              <w:t>10,192,000</w:t>
            </w:r>
          </w:p>
        </w:tc>
        <w:tc>
          <w:tcPr>
            <w:tcW w:w="1044" w:type="dxa"/>
            <w:tcBorders>
              <w:top w:val="nil"/>
              <w:left w:val="nil"/>
              <w:bottom w:val="nil"/>
              <w:right w:val="nil"/>
            </w:tcBorders>
            <w:vAlign w:val="bottom"/>
          </w:tcPr>
          <w:p w14:paraId="1F530022" w14:textId="77777777" w:rsidR="001E42F9" w:rsidRPr="004D096A" w:rsidRDefault="001E42F9" w:rsidP="00895606">
            <w:pPr>
              <w:jc w:val="right"/>
              <w:rPr>
                <w:sz w:val="16"/>
                <w:szCs w:val="16"/>
              </w:rPr>
            </w:pPr>
            <w:r w:rsidRPr="004D096A">
              <w:rPr>
                <w:sz w:val="16"/>
                <w:szCs w:val="16"/>
              </w:rPr>
              <w:t>588,500</w:t>
            </w:r>
          </w:p>
        </w:tc>
        <w:tc>
          <w:tcPr>
            <w:tcW w:w="1106" w:type="dxa"/>
            <w:tcBorders>
              <w:top w:val="nil"/>
              <w:left w:val="nil"/>
              <w:bottom w:val="nil"/>
              <w:right w:val="nil"/>
            </w:tcBorders>
            <w:vAlign w:val="bottom"/>
          </w:tcPr>
          <w:p w14:paraId="4E38E71A" w14:textId="77777777" w:rsidR="001E42F9" w:rsidRPr="004D096A" w:rsidRDefault="001E42F9" w:rsidP="00895606">
            <w:pPr>
              <w:jc w:val="right"/>
              <w:rPr>
                <w:sz w:val="16"/>
                <w:szCs w:val="16"/>
              </w:rPr>
            </w:pPr>
            <w:r w:rsidRPr="004D096A">
              <w:rPr>
                <w:sz w:val="16"/>
                <w:szCs w:val="16"/>
              </w:rPr>
              <w:t>9,603,500</w:t>
            </w:r>
          </w:p>
        </w:tc>
      </w:tr>
      <w:tr w:rsidR="001E42F9" w:rsidRPr="004D096A" w14:paraId="755B5BF2" w14:textId="77777777">
        <w:trPr>
          <w:trHeight w:val="255"/>
        </w:trPr>
        <w:tc>
          <w:tcPr>
            <w:tcW w:w="1194" w:type="dxa"/>
            <w:tcBorders>
              <w:top w:val="nil"/>
              <w:left w:val="nil"/>
              <w:bottom w:val="nil"/>
              <w:right w:val="nil"/>
            </w:tcBorders>
            <w:shd w:val="clear" w:color="auto" w:fill="auto"/>
            <w:noWrap/>
            <w:vAlign w:val="bottom"/>
          </w:tcPr>
          <w:p w14:paraId="3232AA88" w14:textId="77777777" w:rsidR="001E42F9" w:rsidRPr="004D096A" w:rsidRDefault="001E42F9" w:rsidP="00895606">
            <w:pPr>
              <w:rPr>
                <w:b/>
                <w:i/>
                <w:sz w:val="16"/>
                <w:szCs w:val="16"/>
              </w:rPr>
            </w:pPr>
            <w:proofErr w:type="spellStart"/>
            <w:r w:rsidRPr="004D096A">
              <w:rPr>
                <w:b/>
                <w:i/>
                <w:sz w:val="16"/>
                <w:szCs w:val="16"/>
              </w:rPr>
              <w:t>Logologo</w:t>
            </w:r>
            <w:proofErr w:type="spellEnd"/>
          </w:p>
        </w:tc>
        <w:tc>
          <w:tcPr>
            <w:tcW w:w="1296" w:type="dxa"/>
            <w:tcBorders>
              <w:top w:val="nil"/>
              <w:left w:val="nil"/>
              <w:bottom w:val="nil"/>
              <w:right w:val="nil"/>
            </w:tcBorders>
            <w:shd w:val="clear" w:color="auto" w:fill="auto"/>
            <w:noWrap/>
            <w:vAlign w:val="bottom"/>
          </w:tcPr>
          <w:p w14:paraId="5CC4E09F" w14:textId="77777777" w:rsidR="001E42F9" w:rsidRPr="004D096A" w:rsidRDefault="001E42F9" w:rsidP="00895606">
            <w:pPr>
              <w:jc w:val="right"/>
              <w:rPr>
                <w:sz w:val="16"/>
                <w:szCs w:val="16"/>
              </w:rPr>
            </w:pPr>
            <w:r w:rsidRPr="004D096A">
              <w:rPr>
                <w:sz w:val="16"/>
                <w:szCs w:val="16"/>
              </w:rPr>
              <w:t>372,125</w:t>
            </w:r>
          </w:p>
        </w:tc>
        <w:tc>
          <w:tcPr>
            <w:tcW w:w="1115" w:type="dxa"/>
            <w:tcBorders>
              <w:top w:val="nil"/>
              <w:left w:val="nil"/>
              <w:bottom w:val="nil"/>
              <w:right w:val="nil"/>
            </w:tcBorders>
            <w:shd w:val="clear" w:color="auto" w:fill="auto"/>
            <w:noWrap/>
            <w:vAlign w:val="bottom"/>
          </w:tcPr>
          <w:p w14:paraId="07EA1CF7" w14:textId="77777777" w:rsidR="001E42F9" w:rsidRPr="004D096A" w:rsidRDefault="001E42F9" w:rsidP="00895606">
            <w:pPr>
              <w:jc w:val="right"/>
              <w:rPr>
                <w:sz w:val="16"/>
                <w:szCs w:val="16"/>
              </w:rPr>
            </w:pPr>
            <w:r w:rsidRPr="004D096A">
              <w:rPr>
                <w:sz w:val="16"/>
                <w:szCs w:val="16"/>
              </w:rPr>
              <w:t>4.0</w:t>
            </w:r>
          </w:p>
        </w:tc>
        <w:tc>
          <w:tcPr>
            <w:tcW w:w="1044" w:type="dxa"/>
            <w:tcBorders>
              <w:top w:val="nil"/>
              <w:left w:val="nil"/>
              <w:bottom w:val="nil"/>
              <w:right w:val="nil"/>
            </w:tcBorders>
            <w:shd w:val="clear" w:color="auto" w:fill="auto"/>
            <w:noWrap/>
            <w:vAlign w:val="bottom"/>
          </w:tcPr>
          <w:p w14:paraId="3B65E41B" w14:textId="77777777" w:rsidR="001E42F9" w:rsidRPr="004D096A" w:rsidRDefault="001E42F9" w:rsidP="00895606">
            <w:pPr>
              <w:jc w:val="right"/>
              <w:rPr>
                <w:sz w:val="16"/>
                <w:szCs w:val="16"/>
              </w:rPr>
            </w:pPr>
            <w:r w:rsidRPr="004D096A">
              <w:rPr>
                <w:sz w:val="16"/>
                <w:szCs w:val="16"/>
              </w:rPr>
              <w:t>1,488,500</w:t>
            </w:r>
          </w:p>
        </w:tc>
        <w:tc>
          <w:tcPr>
            <w:tcW w:w="1133" w:type="dxa"/>
            <w:tcBorders>
              <w:top w:val="nil"/>
              <w:left w:val="nil"/>
              <w:bottom w:val="nil"/>
              <w:right w:val="nil"/>
            </w:tcBorders>
            <w:shd w:val="clear" w:color="auto" w:fill="auto"/>
            <w:noWrap/>
            <w:vAlign w:val="bottom"/>
          </w:tcPr>
          <w:p w14:paraId="4EECB860" w14:textId="77777777" w:rsidR="001E42F9" w:rsidRPr="004D096A" w:rsidRDefault="001E42F9" w:rsidP="00895606">
            <w:pPr>
              <w:jc w:val="right"/>
              <w:rPr>
                <w:sz w:val="16"/>
                <w:szCs w:val="16"/>
              </w:rPr>
            </w:pPr>
            <w:r w:rsidRPr="004D096A">
              <w:rPr>
                <w:sz w:val="16"/>
                <w:szCs w:val="16"/>
              </w:rPr>
              <w:t>2</w:t>
            </w:r>
          </w:p>
        </w:tc>
        <w:tc>
          <w:tcPr>
            <w:tcW w:w="1106" w:type="dxa"/>
            <w:tcBorders>
              <w:top w:val="nil"/>
              <w:left w:val="nil"/>
              <w:bottom w:val="nil"/>
              <w:right w:val="nil"/>
            </w:tcBorders>
            <w:shd w:val="clear" w:color="auto" w:fill="auto"/>
            <w:noWrap/>
            <w:vAlign w:val="bottom"/>
          </w:tcPr>
          <w:p w14:paraId="6A6A092C" w14:textId="77777777" w:rsidR="001E42F9" w:rsidRPr="004D096A" w:rsidRDefault="001E42F9" w:rsidP="00895606">
            <w:pPr>
              <w:jc w:val="right"/>
              <w:rPr>
                <w:sz w:val="16"/>
                <w:szCs w:val="16"/>
              </w:rPr>
            </w:pPr>
            <w:r w:rsidRPr="004D096A">
              <w:rPr>
                <w:sz w:val="16"/>
                <w:szCs w:val="16"/>
              </w:rPr>
              <w:t>2,977,000</w:t>
            </w:r>
          </w:p>
        </w:tc>
        <w:tc>
          <w:tcPr>
            <w:tcW w:w="1044" w:type="dxa"/>
            <w:tcBorders>
              <w:top w:val="nil"/>
              <w:left w:val="nil"/>
              <w:bottom w:val="nil"/>
              <w:right w:val="nil"/>
            </w:tcBorders>
            <w:vAlign w:val="bottom"/>
          </w:tcPr>
          <w:p w14:paraId="00EED613" w14:textId="77777777" w:rsidR="001E42F9" w:rsidRPr="004D096A" w:rsidRDefault="001E42F9" w:rsidP="00895606">
            <w:pPr>
              <w:jc w:val="right"/>
              <w:rPr>
                <w:sz w:val="16"/>
                <w:szCs w:val="16"/>
              </w:rPr>
            </w:pPr>
            <w:r w:rsidRPr="004D096A">
              <w:rPr>
                <w:sz w:val="16"/>
                <w:szCs w:val="16"/>
              </w:rPr>
              <w:t>529,300</w:t>
            </w:r>
          </w:p>
        </w:tc>
        <w:tc>
          <w:tcPr>
            <w:tcW w:w="1106" w:type="dxa"/>
            <w:tcBorders>
              <w:top w:val="nil"/>
              <w:left w:val="nil"/>
              <w:bottom w:val="nil"/>
              <w:right w:val="nil"/>
            </w:tcBorders>
            <w:vAlign w:val="bottom"/>
          </w:tcPr>
          <w:p w14:paraId="65973865" w14:textId="77777777" w:rsidR="001E42F9" w:rsidRPr="004D096A" w:rsidRDefault="001E42F9" w:rsidP="00895606">
            <w:pPr>
              <w:jc w:val="right"/>
              <w:rPr>
                <w:sz w:val="16"/>
                <w:szCs w:val="16"/>
              </w:rPr>
            </w:pPr>
            <w:r w:rsidRPr="004D096A">
              <w:rPr>
                <w:sz w:val="16"/>
                <w:szCs w:val="16"/>
              </w:rPr>
              <w:t>2,447,700</w:t>
            </w:r>
          </w:p>
        </w:tc>
      </w:tr>
      <w:tr w:rsidR="001E42F9" w:rsidRPr="004D096A" w14:paraId="09641F11" w14:textId="77777777">
        <w:trPr>
          <w:trHeight w:val="255"/>
        </w:trPr>
        <w:tc>
          <w:tcPr>
            <w:tcW w:w="1194" w:type="dxa"/>
            <w:tcBorders>
              <w:top w:val="nil"/>
              <w:left w:val="nil"/>
              <w:right w:val="nil"/>
            </w:tcBorders>
            <w:shd w:val="clear" w:color="auto" w:fill="auto"/>
            <w:noWrap/>
            <w:vAlign w:val="bottom"/>
          </w:tcPr>
          <w:p w14:paraId="4CE355BD" w14:textId="77777777" w:rsidR="001E42F9" w:rsidRPr="004D096A" w:rsidRDefault="001E42F9" w:rsidP="00895606">
            <w:pPr>
              <w:rPr>
                <w:b/>
                <w:i/>
                <w:sz w:val="16"/>
                <w:szCs w:val="16"/>
              </w:rPr>
            </w:pPr>
            <w:proofErr w:type="spellStart"/>
            <w:r w:rsidRPr="004D096A">
              <w:rPr>
                <w:b/>
                <w:i/>
                <w:sz w:val="16"/>
                <w:szCs w:val="16"/>
              </w:rPr>
              <w:t>Loiyangalani</w:t>
            </w:r>
            <w:proofErr w:type="spellEnd"/>
          </w:p>
        </w:tc>
        <w:tc>
          <w:tcPr>
            <w:tcW w:w="1296" w:type="dxa"/>
            <w:tcBorders>
              <w:top w:val="nil"/>
              <w:left w:val="nil"/>
              <w:right w:val="nil"/>
            </w:tcBorders>
            <w:shd w:val="clear" w:color="auto" w:fill="auto"/>
            <w:noWrap/>
            <w:vAlign w:val="bottom"/>
          </w:tcPr>
          <w:p w14:paraId="485D1332" w14:textId="77777777" w:rsidR="001E42F9" w:rsidRPr="004D096A" w:rsidRDefault="001E42F9" w:rsidP="00895606">
            <w:pPr>
              <w:jc w:val="right"/>
              <w:rPr>
                <w:sz w:val="16"/>
                <w:szCs w:val="16"/>
              </w:rPr>
            </w:pPr>
            <w:r w:rsidRPr="004D096A">
              <w:rPr>
                <w:sz w:val="16"/>
                <w:szCs w:val="16"/>
              </w:rPr>
              <w:t>1,024,813</w:t>
            </w:r>
          </w:p>
        </w:tc>
        <w:tc>
          <w:tcPr>
            <w:tcW w:w="1115" w:type="dxa"/>
            <w:tcBorders>
              <w:top w:val="nil"/>
              <w:left w:val="nil"/>
              <w:right w:val="nil"/>
            </w:tcBorders>
            <w:shd w:val="clear" w:color="auto" w:fill="auto"/>
            <w:noWrap/>
            <w:vAlign w:val="bottom"/>
          </w:tcPr>
          <w:p w14:paraId="35B62F58" w14:textId="77777777" w:rsidR="001E42F9" w:rsidRPr="004D096A" w:rsidRDefault="001E42F9" w:rsidP="00895606">
            <w:pPr>
              <w:jc w:val="right"/>
              <w:rPr>
                <w:sz w:val="16"/>
                <w:szCs w:val="16"/>
              </w:rPr>
            </w:pPr>
            <w:r w:rsidRPr="004D096A">
              <w:rPr>
                <w:sz w:val="16"/>
                <w:szCs w:val="16"/>
              </w:rPr>
              <w:t>4.5</w:t>
            </w:r>
          </w:p>
        </w:tc>
        <w:tc>
          <w:tcPr>
            <w:tcW w:w="1044" w:type="dxa"/>
            <w:tcBorders>
              <w:top w:val="nil"/>
              <w:left w:val="nil"/>
              <w:right w:val="nil"/>
            </w:tcBorders>
            <w:shd w:val="clear" w:color="auto" w:fill="auto"/>
            <w:noWrap/>
            <w:vAlign w:val="bottom"/>
          </w:tcPr>
          <w:p w14:paraId="29431611" w14:textId="77777777" w:rsidR="001E42F9" w:rsidRPr="004D096A" w:rsidRDefault="001E42F9" w:rsidP="00895606">
            <w:pPr>
              <w:jc w:val="right"/>
              <w:rPr>
                <w:sz w:val="16"/>
                <w:szCs w:val="16"/>
              </w:rPr>
            </w:pPr>
            <w:r w:rsidRPr="004D096A">
              <w:rPr>
                <w:sz w:val="16"/>
                <w:szCs w:val="16"/>
              </w:rPr>
              <w:t>4,611,659</w:t>
            </w:r>
          </w:p>
        </w:tc>
        <w:tc>
          <w:tcPr>
            <w:tcW w:w="1133" w:type="dxa"/>
            <w:tcBorders>
              <w:top w:val="nil"/>
              <w:left w:val="nil"/>
              <w:right w:val="nil"/>
            </w:tcBorders>
            <w:shd w:val="clear" w:color="auto" w:fill="auto"/>
            <w:noWrap/>
            <w:vAlign w:val="bottom"/>
          </w:tcPr>
          <w:p w14:paraId="0DB24E84" w14:textId="77777777" w:rsidR="001E42F9" w:rsidRPr="004D096A" w:rsidRDefault="001E42F9" w:rsidP="00895606">
            <w:pPr>
              <w:jc w:val="right"/>
              <w:rPr>
                <w:sz w:val="16"/>
                <w:szCs w:val="16"/>
              </w:rPr>
            </w:pPr>
            <w:r w:rsidRPr="004D096A">
              <w:rPr>
                <w:sz w:val="16"/>
                <w:szCs w:val="16"/>
              </w:rPr>
              <w:t>4</w:t>
            </w:r>
          </w:p>
        </w:tc>
        <w:tc>
          <w:tcPr>
            <w:tcW w:w="1106" w:type="dxa"/>
            <w:tcBorders>
              <w:top w:val="nil"/>
              <w:left w:val="nil"/>
              <w:right w:val="nil"/>
            </w:tcBorders>
            <w:shd w:val="clear" w:color="auto" w:fill="auto"/>
            <w:noWrap/>
            <w:vAlign w:val="bottom"/>
          </w:tcPr>
          <w:p w14:paraId="0C7AC43F" w14:textId="77777777" w:rsidR="001E42F9" w:rsidRPr="004D096A" w:rsidRDefault="001E42F9" w:rsidP="00895606">
            <w:pPr>
              <w:jc w:val="right"/>
              <w:rPr>
                <w:sz w:val="16"/>
                <w:szCs w:val="16"/>
              </w:rPr>
            </w:pPr>
            <w:r w:rsidRPr="004D096A">
              <w:rPr>
                <w:sz w:val="16"/>
                <w:szCs w:val="16"/>
              </w:rPr>
              <w:t>18,446,634</w:t>
            </w:r>
          </w:p>
        </w:tc>
        <w:tc>
          <w:tcPr>
            <w:tcW w:w="1044" w:type="dxa"/>
            <w:tcBorders>
              <w:top w:val="nil"/>
              <w:left w:val="nil"/>
              <w:right w:val="nil"/>
            </w:tcBorders>
            <w:vAlign w:val="bottom"/>
          </w:tcPr>
          <w:p w14:paraId="5CC75165" w14:textId="77777777" w:rsidR="001E42F9" w:rsidRPr="004D096A" w:rsidRDefault="001E42F9" w:rsidP="00895606">
            <w:pPr>
              <w:jc w:val="right"/>
              <w:rPr>
                <w:sz w:val="16"/>
                <w:szCs w:val="16"/>
              </w:rPr>
            </w:pPr>
            <w:r w:rsidRPr="004D096A">
              <w:rPr>
                <w:sz w:val="16"/>
                <w:szCs w:val="16"/>
              </w:rPr>
              <w:t>10,284,000</w:t>
            </w:r>
          </w:p>
        </w:tc>
        <w:tc>
          <w:tcPr>
            <w:tcW w:w="1106" w:type="dxa"/>
            <w:tcBorders>
              <w:top w:val="nil"/>
              <w:left w:val="nil"/>
              <w:right w:val="nil"/>
            </w:tcBorders>
            <w:vAlign w:val="bottom"/>
          </w:tcPr>
          <w:p w14:paraId="658A657B" w14:textId="77777777" w:rsidR="001E42F9" w:rsidRPr="004D096A" w:rsidRDefault="001E42F9" w:rsidP="00895606">
            <w:pPr>
              <w:jc w:val="right"/>
              <w:rPr>
                <w:sz w:val="16"/>
                <w:szCs w:val="16"/>
              </w:rPr>
            </w:pPr>
            <w:r w:rsidRPr="004D096A">
              <w:rPr>
                <w:sz w:val="16"/>
                <w:szCs w:val="16"/>
              </w:rPr>
              <w:t>8,162,634</w:t>
            </w:r>
          </w:p>
        </w:tc>
      </w:tr>
      <w:tr w:rsidR="001E42F9" w:rsidRPr="004D096A" w14:paraId="68952E8E" w14:textId="77777777">
        <w:trPr>
          <w:trHeight w:val="255"/>
        </w:trPr>
        <w:tc>
          <w:tcPr>
            <w:tcW w:w="1194" w:type="dxa"/>
            <w:tcBorders>
              <w:top w:val="nil"/>
              <w:left w:val="nil"/>
              <w:bottom w:val="single" w:sz="4" w:space="0" w:color="auto"/>
              <w:right w:val="nil"/>
            </w:tcBorders>
            <w:shd w:val="clear" w:color="auto" w:fill="auto"/>
            <w:noWrap/>
            <w:vAlign w:val="bottom"/>
          </w:tcPr>
          <w:p w14:paraId="61087A8F" w14:textId="77777777" w:rsidR="001E42F9" w:rsidRPr="004D096A" w:rsidRDefault="001E42F9" w:rsidP="00895606">
            <w:pPr>
              <w:rPr>
                <w:b/>
                <w:i/>
                <w:sz w:val="16"/>
                <w:szCs w:val="16"/>
              </w:rPr>
            </w:pPr>
            <w:r w:rsidRPr="004D096A">
              <w:rPr>
                <w:b/>
                <w:i/>
                <w:sz w:val="16"/>
                <w:szCs w:val="16"/>
              </w:rPr>
              <w:t xml:space="preserve">North </w:t>
            </w:r>
            <w:proofErr w:type="spellStart"/>
            <w:r w:rsidRPr="004D096A">
              <w:rPr>
                <w:b/>
                <w:i/>
                <w:sz w:val="16"/>
                <w:szCs w:val="16"/>
              </w:rPr>
              <w:t>Horr</w:t>
            </w:r>
            <w:proofErr w:type="spellEnd"/>
          </w:p>
        </w:tc>
        <w:tc>
          <w:tcPr>
            <w:tcW w:w="1296" w:type="dxa"/>
            <w:tcBorders>
              <w:top w:val="nil"/>
              <w:left w:val="nil"/>
              <w:bottom w:val="single" w:sz="4" w:space="0" w:color="auto"/>
              <w:right w:val="nil"/>
            </w:tcBorders>
            <w:shd w:val="clear" w:color="auto" w:fill="auto"/>
            <w:noWrap/>
            <w:vAlign w:val="bottom"/>
          </w:tcPr>
          <w:p w14:paraId="1D52A04F" w14:textId="77777777" w:rsidR="001E42F9" w:rsidRPr="004D096A" w:rsidRDefault="001E42F9" w:rsidP="00895606">
            <w:pPr>
              <w:jc w:val="right"/>
              <w:rPr>
                <w:sz w:val="16"/>
                <w:szCs w:val="16"/>
              </w:rPr>
            </w:pPr>
            <w:r w:rsidRPr="004D096A">
              <w:rPr>
                <w:sz w:val="16"/>
                <w:szCs w:val="16"/>
              </w:rPr>
              <w:t>1,193,601</w:t>
            </w:r>
          </w:p>
        </w:tc>
        <w:tc>
          <w:tcPr>
            <w:tcW w:w="1115" w:type="dxa"/>
            <w:tcBorders>
              <w:top w:val="nil"/>
              <w:left w:val="nil"/>
              <w:bottom w:val="single" w:sz="4" w:space="0" w:color="auto"/>
              <w:right w:val="nil"/>
            </w:tcBorders>
            <w:shd w:val="clear" w:color="auto" w:fill="auto"/>
            <w:noWrap/>
            <w:vAlign w:val="bottom"/>
          </w:tcPr>
          <w:p w14:paraId="05DCC0CF" w14:textId="77777777" w:rsidR="001E42F9" w:rsidRPr="004D096A" w:rsidRDefault="001E42F9" w:rsidP="00895606">
            <w:pPr>
              <w:jc w:val="right"/>
              <w:rPr>
                <w:sz w:val="16"/>
                <w:szCs w:val="16"/>
              </w:rPr>
            </w:pPr>
            <w:r w:rsidRPr="004D096A">
              <w:rPr>
                <w:sz w:val="16"/>
                <w:szCs w:val="16"/>
              </w:rPr>
              <w:t>1.0</w:t>
            </w:r>
          </w:p>
        </w:tc>
        <w:tc>
          <w:tcPr>
            <w:tcW w:w="1044" w:type="dxa"/>
            <w:tcBorders>
              <w:top w:val="nil"/>
              <w:left w:val="nil"/>
              <w:bottom w:val="single" w:sz="4" w:space="0" w:color="auto"/>
              <w:right w:val="nil"/>
            </w:tcBorders>
            <w:shd w:val="clear" w:color="auto" w:fill="auto"/>
            <w:noWrap/>
            <w:vAlign w:val="bottom"/>
          </w:tcPr>
          <w:p w14:paraId="00DD6AF8" w14:textId="77777777" w:rsidR="001E42F9" w:rsidRPr="004D096A" w:rsidRDefault="001E42F9" w:rsidP="00895606">
            <w:pPr>
              <w:jc w:val="right"/>
              <w:rPr>
                <w:sz w:val="16"/>
                <w:szCs w:val="16"/>
              </w:rPr>
            </w:pPr>
            <w:r w:rsidRPr="004D096A">
              <w:rPr>
                <w:sz w:val="16"/>
                <w:szCs w:val="16"/>
              </w:rPr>
              <w:t>1,193,601</w:t>
            </w:r>
          </w:p>
        </w:tc>
        <w:tc>
          <w:tcPr>
            <w:tcW w:w="1133" w:type="dxa"/>
            <w:tcBorders>
              <w:top w:val="nil"/>
              <w:left w:val="nil"/>
              <w:bottom w:val="single" w:sz="4" w:space="0" w:color="auto"/>
              <w:right w:val="nil"/>
            </w:tcBorders>
            <w:shd w:val="clear" w:color="auto" w:fill="auto"/>
            <w:noWrap/>
            <w:vAlign w:val="bottom"/>
          </w:tcPr>
          <w:p w14:paraId="495D4E30" w14:textId="77777777" w:rsidR="001E42F9" w:rsidRPr="004D096A" w:rsidRDefault="001E42F9" w:rsidP="00895606">
            <w:pPr>
              <w:jc w:val="right"/>
              <w:rPr>
                <w:sz w:val="16"/>
                <w:szCs w:val="16"/>
              </w:rPr>
            </w:pPr>
            <w:r w:rsidRPr="004D096A">
              <w:rPr>
                <w:sz w:val="16"/>
                <w:szCs w:val="16"/>
              </w:rPr>
              <w:t>8</w:t>
            </w:r>
          </w:p>
        </w:tc>
        <w:tc>
          <w:tcPr>
            <w:tcW w:w="1106" w:type="dxa"/>
            <w:tcBorders>
              <w:top w:val="nil"/>
              <w:left w:val="nil"/>
              <w:bottom w:val="single" w:sz="4" w:space="0" w:color="auto"/>
              <w:right w:val="nil"/>
            </w:tcBorders>
            <w:shd w:val="clear" w:color="auto" w:fill="auto"/>
            <w:noWrap/>
            <w:vAlign w:val="bottom"/>
          </w:tcPr>
          <w:p w14:paraId="1B8D53B8" w14:textId="77777777" w:rsidR="001E42F9" w:rsidRPr="004D096A" w:rsidRDefault="001E42F9" w:rsidP="00895606">
            <w:pPr>
              <w:jc w:val="right"/>
              <w:rPr>
                <w:sz w:val="16"/>
                <w:szCs w:val="16"/>
              </w:rPr>
            </w:pPr>
            <w:r w:rsidRPr="004D096A">
              <w:rPr>
                <w:sz w:val="16"/>
                <w:szCs w:val="16"/>
              </w:rPr>
              <w:t>9,548,808</w:t>
            </w:r>
          </w:p>
        </w:tc>
        <w:tc>
          <w:tcPr>
            <w:tcW w:w="1044" w:type="dxa"/>
            <w:tcBorders>
              <w:top w:val="nil"/>
              <w:left w:val="nil"/>
              <w:bottom w:val="single" w:sz="4" w:space="0" w:color="auto"/>
              <w:right w:val="nil"/>
            </w:tcBorders>
            <w:vAlign w:val="bottom"/>
          </w:tcPr>
          <w:p w14:paraId="17D17557" w14:textId="77777777" w:rsidR="001E42F9" w:rsidRPr="004D096A" w:rsidRDefault="001E42F9" w:rsidP="00895606">
            <w:pPr>
              <w:jc w:val="right"/>
              <w:rPr>
                <w:sz w:val="16"/>
                <w:szCs w:val="16"/>
              </w:rPr>
            </w:pPr>
            <w:r w:rsidRPr="004D096A">
              <w:rPr>
                <w:sz w:val="16"/>
                <w:szCs w:val="16"/>
              </w:rPr>
              <w:t>3,001,500</w:t>
            </w:r>
          </w:p>
        </w:tc>
        <w:tc>
          <w:tcPr>
            <w:tcW w:w="1106" w:type="dxa"/>
            <w:tcBorders>
              <w:top w:val="nil"/>
              <w:left w:val="nil"/>
              <w:bottom w:val="single" w:sz="4" w:space="0" w:color="auto"/>
              <w:right w:val="nil"/>
            </w:tcBorders>
            <w:vAlign w:val="bottom"/>
          </w:tcPr>
          <w:p w14:paraId="598F469F" w14:textId="77777777" w:rsidR="001E42F9" w:rsidRPr="004D096A" w:rsidRDefault="001E42F9" w:rsidP="00895606">
            <w:pPr>
              <w:jc w:val="right"/>
              <w:rPr>
                <w:sz w:val="16"/>
                <w:szCs w:val="16"/>
              </w:rPr>
            </w:pPr>
            <w:r w:rsidRPr="004D096A">
              <w:rPr>
                <w:sz w:val="16"/>
                <w:szCs w:val="16"/>
              </w:rPr>
              <w:t>6,547,308</w:t>
            </w:r>
          </w:p>
        </w:tc>
      </w:tr>
    </w:tbl>
    <w:bookmarkEnd w:id="4"/>
    <w:bookmarkEnd w:id="7"/>
    <w:p w14:paraId="3E27F3E6" w14:textId="77777777" w:rsidR="001E42F9" w:rsidRDefault="001E42F9" w:rsidP="001E42F9">
      <w:pPr>
        <w:rPr>
          <w:sz w:val="16"/>
          <w:szCs w:val="16"/>
        </w:rPr>
      </w:pPr>
      <w:r w:rsidRPr="00A25F3F">
        <w:rPr>
          <w:sz w:val="16"/>
          <w:szCs w:val="16"/>
        </w:rPr>
        <w:t>*</w:t>
      </w:r>
      <w:r>
        <w:rPr>
          <w:sz w:val="16"/>
          <w:szCs w:val="16"/>
        </w:rPr>
        <w:t xml:space="preserve"> </w:t>
      </w:r>
      <w:r w:rsidRPr="00C41FE8">
        <w:rPr>
          <w:sz w:val="16"/>
          <w:szCs w:val="16"/>
        </w:rPr>
        <w:t xml:space="preserve">Monthly restocking frequency derived by dividing number of days required to restock to full capacity by 30 days. </w:t>
      </w:r>
    </w:p>
    <w:p w14:paraId="1DC49121" w14:textId="77777777" w:rsidR="001E42F9" w:rsidRDefault="001E42F9" w:rsidP="001E42F9">
      <w:pPr>
        <w:rPr>
          <w:sz w:val="16"/>
          <w:szCs w:val="16"/>
        </w:rPr>
      </w:pPr>
      <w:r>
        <w:rPr>
          <w:sz w:val="16"/>
          <w:szCs w:val="16"/>
        </w:rPr>
        <w:t>** Sample wholesalers estimated average monthly sales for top 3 commodities</w:t>
      </w:r>
    </w:p>
    <w:p w14:paraId="190058E9" w14:textId="6BF96247" w:rsidR="001E42F9" w:rsidRPr="00C41FE8" w:rsidRDefault="001E42F9" w:rsidP="001E42F9">
      <w:pPr>
        <w:rPr>
          <w:sz w:val="16"/>
          <w:szCs w:val="16"/>
        </w:rPr>
      </w:pPr>
      <w:r>
        <w:rPr>
          <w:sz w:val="16"/>
          <w:szCs w:val="16"/>
        </w:rPr>
        <w:t xml:space="preserve">*** </w:t>
      </w:r>
      <w:proofErr w:type="spellStart"/>
      <w:r>
        <w:rPr>
          <w:sz w:val="16"/>
          <w:szCs w:val="16"/>
        </w:rPr>
        <w:t>Marsabit</w:t>
      </w:r>
      <w:proofErr w:type="spellEnd"/>
      <w:r>
        <w:rPr>
          <w:sz w:val="16"/>
          <w:szCs w:val="16"/>
        </w:rPr>
        <w:t xml:space="preserve"> Town is the closest wholesale destination to </w:t>
      </w:r>
      <w:proofErr w:type="spellStart"/>
      <w:r>
        <w:rPr>
          <w:sz w:val="16"/>
          <w:szCs w:val="16"/>
        </w:rPr>
        <w:t>Dirib</w:t>
      </w:r>
      <w:proofErr w:type="spellEnd"/>
      <w:r>
        <w:rPr>
          <w:sz w:val="16"/>
          <w:szCs w:val="16"/>
        </w:rPr>
        <w:t xml:space="preserve"> </w:t>
      </w:r>
      <w:proofErr w:type="spellStart"/>
      <w:r>
        <w:rPr>
          <w:sz w:val="16"/>
          <w:szCs w:val="16"/>
        </w:rPr>
        <w:t>Gombo</w:t>
      </w:r>
      <w:proofErr w:type="spellEnd"/>
      <w:r w:rsidR="005F6290">
        <w:rPr>
          <w:sz w:val="16"/>
          <w:szCs w:val="16"/>
        </w:rPr>
        <w:t>,</w:t>
      </w:r>
      <w:r>
        <w:rPr>
          <w:sz w:val="16"/>
          <w:szCs w:val="16"/>
        </w:rPr>
        <w:t xml:space="preserve"> which is 15 minutes away by road.</w:t>
      </w:r>
    </w:p>
    <w:p w14:paraId="3D5FA5C8" w14:textId="0D7206DF" w:rsidR="001E42F9" w:rsidRPr="00870FC3" w:rsidRDefault="0081549A" w:rsidP="001E42F9">
      <w:pPr>
        <w:rPr>
          <w:i/>
        </w:rPr>
      </w:pPr>
      <w:r>
        <w:t xml:space="preserve">Source: </w:t>
      </w:r>
      <w:r w:rsidR="00870FC3">
        <w:t>Mude et al. (forthcoming)</w:t>
      </w:r>
    </w:p>
    <w:p w14:paraId="1967B9E8" w14:textId="77777777" w:rsidR="0081549A" w:rsidRDefault="0081549A" w:rsidP="001E42F9">
      <w:pPr>
        <w:pStyle w:val="Caption"/>
        <w:rPr>
          <w:rFonts w:ascii="Cambria" w:hAnsi="Cambria"/>
          <w:b w:val="0"/>
          <w:sz w:val="24"/>
        </w:rPr>
      </w:pPr>
    </w:p>
    <w:p w14:paraId="3B53C15D" w14:textId="5A2BABBB" w:rsidR="001E42F9" w:rsidRPr="00235DC7" w:rsidRDefault="0039172A" w:rsidP="001E42F9">
      <w:pPr>
        <w:pStyle w:val="Caption"/>
        <w:rPr>
          <w:rFonts w:ascii="Cambria" w:hAnsi="Cambria"/>
          <w:b w:val="0"/>
          <w:sz w:val="24"/>
        </w:rPr>
      </w:pPr>
      <w:r>
        <w:rPr>
          <w:rFonts w:ascii="Cambria" w:hAnsi="Cambria"/>
          <w:b w:val="0"/>
          <w:sz w:val="24"/>
        </w:rPr>
        <w:t>By c</w:t>
      </w:r>
      <w:r w:rsidR="001E42F9" w:rsidRPr="00235DC7">
        <w:rPr>
          <w:rFonts w:ascii="Cambria" w:hAnsi="Cambria"/>
          <w:b w:val="0"/>
          <w:sz w:val="24"/>
        </w:rPr>
        <w:t xml:space="preserve">ombining the key demand and supply results </w:t>
      </w:r>
      <w:r>
        <w:rPr>
          <w:rFonts w:ascii="Cambria" w:hAnsi="Cambria"/>
          <w:b w:val="0"/>
          <w:sz w:val="24"/>
        </w:rPr>
        <w:t>from</w:t>
      </w:r>
      <w:r w:rsidRPr="00235DC7">
        <w:rPr>
          <w:rFonts w:ascii="Cambria" w:hAnsi="Cambria"/>
          <w:b w:val="0"/>
          <w:sz w:val="24"/>
        </w:rPr>
        <w:t xml:space="preserve"> </w:t>
      </w:r>
      <w:r w:rsidR="001E42F9" w:rsidRPr="00235DC7">
        <w:rPr>
          <w:rFonts w:ascii="Cambria" w:hAnsi="Cambria"/>
          <w:b w:val="0"/>
          <w:sz w:val="24"/>
        </w:rPr>
        <w:t>the above tables</w:t>
      </w:r>
      <w:r w:rsidR="00836A79">
        <w:rPr>
          <w:rFonts w:ascii="Cambria" w:hAnsi="Cambria"/>
          <w:b w:val="0"/>
          <w:sz w:val="24"/>
        </w:rPr>
        <w:t>,</w:t>
      </w:r>
      <w:r w:rsidR="001E42F9" w:rsidRPr="00235DC7">
        <w:rPr>
          <w:rFonts w:ascii="Cambria" w:hAnsi="Cambria"/>
          <w:b w:val="0"/>
          <w:sz w:val="24"/>
        </w:rPr>
        <w:t xml:space="preserve"> we can compare the value of the excess capacity (estimated as the difference between wholesalers maximum monthly supply capacity and the current monthly average supply), with the value of increased demand generated by a cash transfer to the whole population. As the</w:t>
      </w:r>
      <w:r>
        <w:rPr>
          <w:rFonts w:ascii="Cambria" w:hAnsi="Cambria"/>
          <w:b w:val="0"/>
          <w:sz w:val="24"/>
        </w:rPr>
        <w:t xml:space="preserve"> table</w:t>
      </w:r>
      <w:r w:rsidR="001E42F9" w:rsidRPr="00235DC7">
        <w:rPr>
          <w:rFonts w:ascii="Cambria" w:hAnsi="Cambria"/>
          <w:b w:val="0"/>
          <w:sz w:val="24"/>
        </w:rPr>
        <w:t xml:space="preserve"> below shows, in each sample community, the induced demand response is less than the excess capacity that suppliers can meet over a month with little, if any, increase in costs. We estimate that North </w:t>
      </w:r>
      <w:proofErr w:type="spellStart"/>
      <w:r w:rsidR="001E42F9" w:rsidRPr="00235DC7">
        <w:rPr>
          <w:rFonts w:ascii="Cambria" w:hAnsi="Cambria"/>
          <w:b w:val="0"/>
          <w:sz w:val="24"/>
        </w:rPr>
        <w:t>Horr</w:t>
      </w:r>
      <w:proofErr w:type="spellEnd"/>
      <w:r w:rsidR="001E42F9" w:rsidRPr="00235DC7">
        <w:rPr>
          <w:rFonts w:ascii="Cambria" w:hAnsi="Cambria"/>
          <w:b w:val="0"/>
          <w:sz w:val="24"/>
        </w:rPr>
        <w:t>, despite the fact that its wholesalers restock once or twice a month</w:t>
      </w:r>
      <w:r w:rsidR="001E42F9" w:rsidRPr="00235DC7" w:rsidDel="006D7B5E">
        <w:rPr>
          <w:rFonts w:ascii="Cambria" w:hAnsi="Cambria"/>
          <w:b w:val="0"/>
          <w:sz w:val="24"/>
        </w:rPr>
        <w:t xml:space="preserve"> </w:t>
      </w:r>
      <w:r w:rsidR="001E42F9" w:rsidRPr="00235DC7">
        <w:rPr>
          <w:rFonts w:ascii="Cambria" w:hAnsi="Cambria"/>
          <w:b w:val="0"/>
          <w:sz w:val="24"/>
        </w:rPr>
        <w:t>and it is</w:t>
      </w:r>
      <w:r>
        <w:rPr>
          <w:rFonts w:ascii="Cambria" w:hAnsi="Cambria"/>
          <w:b w:val="0"/>
          <w:sz w:val="24"/>
        </w:rPr>
        <w:t xml:space="preserve"> the</w:t>
      </w:r>
      <w:r w:rsidR="001E42F9" w:rsidRPr="00235DC7">
        <w:rPr>
          <w:rFonts w:ascii="Cambria" w:hAnsi="Cambria"/>
          <w:b w:val="0"/>
          <w:sz w:val="24"/>
        </w:rPr>
        <w:t xml:space="preserve"> most remote sub-location in the sample, can easily absorb induced demand, which is less than a quarter of excess capacity. At 49.2%, </w:t>
      </w:r>
      <w:proofErr w:type="spellStart"/>
      <w:r w:rsidR="001E42F9" w:rsidRPr="00235DC7">
        <w:rPr>
          <w:rFonts w:ascii="Cambria" w:hAnsi="Cambria"/>
          <w:b w:val="0"/>
          <w:sz w:val="24"/>
        </w:rPr>
        <w:t>Logologo</w:t>
      </w:r>
      <w:proofErr w:type="spellEnd"/>
      <w:r w:rsidR="001E42F9" w:rsidRPr="00235DC7">
        <w:rPr>
          <w:rFonts w:ascii="Cambria" w:hAnsi="Cambria"/>
          <w:b w:val="0"/>
          <w:sz w:val="24"/>
        </w:rPr>
        <w:t xml:space="preserve"> has the highest fraction of its surplus capacity being absorbed. This </w:t>
      </w:r>
      <w:r>
        <w:rPr>
          <w:rFonts w:ascii="Cambria" w:hAnsi="Cambria"/>
          <w:b w:val="0"/>
          <w:sz w:val="24"/>
        </w:rPr>
        <w:t xml:space="preserve">result </w:t>
      </w:r>
      <w:r w:rsidR="001E42F9" w:rsidRPr="00235DC7">
        <w:rPr>
          <w:rFonts w:ascii="Cambria" w:hAnsi="Cambria"/>
          <w:b w:val="0"/>
          <w:sz w:val="24"/>
        </w:rPr>
        <w:t xml:space="preserve">is not surprising because </w:t>
      </w:r>
      <w:proofErr w:type="spellStart"/>
      <w:r>
        <w:rPr>
          <w:rFonts w:ascii="Cambria" w:hAnsi="Cambria"/>
          <w:b w:val="0"/>
          <w:sz w:val="24"/>
        </w:rPr>
        <w:t>Logologo</w:t>
      </w:r>
      <w:proofErr w:type="spellEnd"/>
      <w:r w:rsidRPr="00235DC7">
        <w:rPr>
          <w:rFonts w:ascii="Cambria" w:hAnsi="Cambria"/>
          <w:b w:val="0"/>
          <w:sz w:val="24"/>
        </w:rPr>
        <w:t xml:space="preserve"> </w:t>
      </w:r>
      <w:r w:rsidR="001E42F9" w:rsidRPr="00235DC7">
        <w:rPr>
          <w:rFonts w:ascii="Cambria" w:hAnsi="Cambria"/>
          <w:b w:val="0"/>
          <w:sz w:val="24"/>
        </w:rPr>
        <w:t xml:space="preserve">is on the main road and less than an hour’s drive from </w:t>
      </w:r>
      <w:proofErr w:type="spellStart"/>
      <w:r w:rsidR="001E42F9" w:rsidRPr="00235DC7">
        <w:rPr>
          <w:rFonts w:ascii="Cambria" w:hAnsi="Cambria"/>
          <w:b w:val="0"/>
          <w:sz w:val="24"/>
        </w:rPr>
        <w:t>Marsabit</w:t>
      </w:r>
      <w:proofErr w:type="spellEnd"/>
      <w:r w:rsidR="001E42F9" w:rsidRPr="00235DC7">
        <w:rPr>
          <w:rFonts w:ascii="Cambria" w:hAnsi="Cambria"/>
          <w:b w:val="0"/>
          <w:sz w:val="24"/>
        </w:rPr>
        <w:t xml:space="preserve"> town, the local market hub. </w:t>
      </w:r>
      <w:r>
        <w:rPr>
          <w:rFonts w:ascii="Cambria" w:hAnsi="Cambria"/>
          <w:b w:val="0"/>
          <w:sz w:val="24"/>
        </w:rPr>
        <w:t>Therefore</w:t>
      </w:r>
      <w:r w:rsidR="001E42F9" w:rsidRPr="00235DC7">
        <w:rPr>
          <w:rFonts w:ascii="Cambria" w:hAnsi="Cambria"/>
          <w:b w:val="0"/>
          <w:sz w:val="24"/>
        </w:rPr>
        <w:t xml:space="preserve">, wholesalers in </w:t>
      </w:r>
      <w:proofErr w:type="spellStart"/>
      <w:r w:rsidR="001E42F9" w:rsidRPr="00235DC7">
        <w:rPr>
          <w:rFonts w:ascii="Cambria" w:hAnsi="Cambria"/>
          <w:b w:val="0"/>
          <w:sz w:val="24"/>
        </w:rPr>
        <w:t>Logologo</w:t>
      </w:r>
      <w:proofErr w:type="spellEnd"/>
      <w:r w:rsidR="001E42F9" w:rsidRPr="00235DC7">
        <w:rPr>
          <w:rFonts w:ascii="Cambria" w:hAnsi="Cambria"/>
          <w:b w:val="0"/>
          <w:sz w:val="24"/>
        </w:rPr>
        <w:t xml:space="preserve"> do not need the capacity to carry large stocks as they can more easily replenish.</w:t>
      </w:r>
    </w:p>
    <w:p w14:paraId="172DDC96" w14:textId="77777777" w:rsidR="001E42F9" w:rsidRDefault="001E42F9" w:rsidP="001E42F9">
      <w:pPr>
        <w:pStyle w:val="Caption"/>
        <w:rPr>
          <w:rFonts w:asciiTheme="minorHAnsi" w:eastAsiaTheme="minorHAnsi" w:hAnsiTheme="minorHAnsi" w:cstheme="minorBidi"/>
          <w:b w:val="0"/>
          <w:bCs w:val="0"/>
          <w:sz w:val="24"/>
          <w:szCs w:val="24"/>
        </w:rPr>
      </w:pPr>
      <w:bookmarkStart w:id="8" w:name="_Ref246246616"/>
    </w:p>
    <w:bookmarkEnd w:id="8"/>
    <w:p w14:paraId="55742B20" w14:textId="326478EE" w:rsidR="001E42F9" w:rsidRPr="009B4EED" w:rsidRDefault="001E42F9" w:rsidP="001E42F9">
      <w:pPr>
        <w:pStyle w:val="Caption"/>
        <w:rPr>
          <w:sz w:val="24"/>
          <w:szCs w:val="24"/>
        </w:rPr>
      </w:pPr>
      <w:r w:rsidRPr="009B4EED">
        <w:rPr>
          <w:sz w:val="24"/>
          <w:szCs w:val="24"/>
        </w:rPr>
        <w:t>Induced Demand as a Fraction of Excess Capacity</w:t>
      </w:r>
    </w:p>
    <w:p w14:paraId="64A75326" w14:textId="77777777" w:rsidR="001E42F9" w:rsidRDefault="001E42F9" w:rsidP="001E42F9">
      <w:pPr>
        <w:jc w:val="both"/>
      </w:pPr>
    </w:p>
    <w:tbl>
      <w:tblPr>
        <w:tblW w:w="5151" w:type="pct"/>
        <w:jc w:val="center"/>
        <w:tblLayout w:type="fixed"/>
        <w:tblLook w:val="0000" w:firstRow="0" w:lastRow="0" w:firstColumn="0" w:lastColumn="0" w:noHBand="0" w:noVBand="0"/>
      </w:tblPr>
      <w:tblGrid>
        <w:gridCol w:w="1399"/>
        <w:gridCol w:w="2201"/>
        <w:gridCol w:w="2994"/>
        <w:gridCol w:w="2529"/>
      </w:tblGrid>
      <w:tr w:rsidR="001E42F9" w:rsidRPr="004D096A" w14:paraId="141D6D23" w14:textId="77777777" w:rsidTr="00836A79">
        <w:trPr>
          <w:trHeight w:val="255"/>
          <w:jc w:val="center"/>
        </w:trPr>
        <w:tc>
          <w:tcPr>
            <w:tcW w:w="766" w:type="pct"/>
            <w:tcBorders>
              <w:top w:val="nil"/>
              <w:left w:val="nil"/>
              <w:bottom w:val="single" w:sz="4" w:space="0" w:color="auto"/>
              <w:right w:val="nil"/>
            </w:tcBorders>
            <w:shd w:val="clear" w:color="auto" w:fill="auto"/>
            <w:noWrap/>
            <w:vAlign w:val="bottom"/>
          </w:tcPr>
          <w:p w14:paraId="022DC18F" w14:textId="77777777" w:rsidR="001E42F9" w:rsidRPr="004D096A" w:rsidRDefault="001E42F9" w:rsidP="00895606">
            <w:pPr>
              <w:rPr>
                <w:sz w:val="18"/>
                <w:szCs w:val="18"/>
              </w:rPr>
            </w:pPr>
          </w:p>
        </w:tc>
        <w:tc>
          <w:tcPr>
            <w:tcW w:w="1206" w:type="pct"/>
            <w:tcBorders>
              <w:top w:val="nil"/>
              <w:left w:val="nil"/>
              <w:bottom w:val="single" w:sz="4" w:space="0" w:color="auto"/>
              <w:right w:val="nil"/>
            </w:tcBorders>
            <w:shd w:val="clear" w:color="auto" w:fill="auto"/>
            <w:noWrap/>
            <w:vAlign w:val="center"/>
          </w:tcPr>
          <w:p w14:paraId="30673BE1" w14:textId="77777777" w:rsidR="001E42F9" w:rsidRPr="004D096A" w:rsidRDefault="001E42F9" w:rsidP="00895606">
            <w:pPr>
              <w:ind w:right="252"/>
              <w:jc w:val="center"/>
              <w:rPr>
                <w:b/>
                <w:bCs/>
                <w:sz w:val="18"/>
                <w:szCs w:val="18"/>
              </w:rPr>
            </w:pPr>
            <w:r w:rsidRPr="004D096A">
              <w:rPr>
                <w:b/>
                <w:bCs/>
                <w:sz w:val="18"/>
                <w:szCs w:val="18"/>
              </w:rPr>
              <w:t>Value of Excess capacity</w:t>
            </w:r>
          </w:p>
        </w:tc>
        <w:tc>
          <w:tcPr>
            <w:tcW w:w="1641" w:type="pct"/>
            <w:tcBorders>
              <w:top w:val="nil"/>
              <w:left w:val="nil"/>
              <w:bottom w:val="single" w:sz="4" w:space="0" w:color="auto"/>
              <w:right w:val="nil"/>
            </w:tcBorders>
            <w:vAlign w:val="center"/>
          </w:tcPr>
          <w:p w14:paraId="0370F1AC" w14:textId="77777777" w:rsidR="001E42F9" w:rsidRPr="004D096A" w:rsidRDefault="001E42F9" w:rsidP="00895606">
            <w:pPr>
              <w:jc w:val="center"/>
              <w:rPr>
                <w:b/>
                <w:sz w:val="18"/>
                <w:szCs w:val="18"/>
              </w:rPr>
            </w:pPr>
            <w:r w:rsidRPr="004D096A">
              <w:rPr>
                <w:b/>
                <w:sz w:val="18"/>
                <w:szCs w:val="18"/>
              </w:rPr>
              <w:t>value of food demand generated by food basket value income transfer to entire pop</w:t>
            </w:r>
          </w:p>
        </w:tc>
        <w:tc>
          <w:tcPr>
            <w:tcW w:w="1386" w:type="pct"/>
            <w:tcBorders>
              <w:top w:val="nil"/>
              <w:left w:val="nil"/>
              <w:bottom w:val="single" w:sz="4" w:space="0" w:color="auto"/>
              <w:right w:val="nil"/>
            </w:tcBorders>
            <w:shd w:val="clear" w:color="auto" w:fill="auto"/>
            <w:noWrap/>
            <w:vAlign w:val="center"/>
          </w:tcPr>
          <w:p w14:paraId="1EF4102E" w14:textId="77777777" w:rsidR="001E42F9" w:rsidRPr="004D096A" w:rsidRDefault="001E42F9" w:rsidP="00895606">
            <w:pPr>
              <w:jc w:val="center"/>
              <w:rPr>
                <w:b/>
                <w:bCs/>
                <w:sz w:val="18"/>
                <w:szCs w:val="18"/>
              </w:rPr>
            </w:pPr>
            <w:r w:rsidRPr="004D096A">
              <w:rPr>
                <w:b/>
                <w:bCs/>
                <w:sz w:val="18"/>
                <w:szCs w:val="18"/>
              </w:rPr>
              <w:t>Cash-transfer generated demand as a fraction of excess capacity.</w:t>
            </w:r>
          </w:p>
        </w:tc>
      </w:tr>
      <w:tr w:rsidR="001E42F9" w:rsidRPr="004D096A" w14:paraId="401BA902" w14:textId="77777777" w:rsidTr="00836A79">
        <w:trPr>
          <w:trHeight w:val="255"/>
          <w:jc w:val="center"/>
        </w:trPr>
        <w:tc>
          <w:tcPr>
            <w:tcW w:w="766" w:type="pct"/>
            <w:tcBorders>
              <w:top w:val="single" w:sz="4" w:space="0" w:color="auto"/>
              <w:left w:val="nil"/>
              <w:bottom w:val="nil"/>
              <w:right w:val="nil"/>
            </w:tcBorders>
            <w:shd w:val="clear" w:color="auto" w:fill="auto"/>
            <w:noWrap/>
            <w:vAlign w:val="bottom"/>
          </w:tcPr>
          <w:p w14:paraId="47F08293" w14:textId="77777777" w:rsidR="001E42F9" w:rsidRPr="004D096A" w:rsidRDefault="001E42F9" w:rsidP="00895606">
            <w:pPr>
              <w:rPr>
                <w:sz w:val="18"/>
                <w:szCs w:val="18"/>
              </w:rPr>
            </w:pPr>
          </w:p>
        </w:tc>
        <w:tc>
          <w:tcPr>
            <w:tcW w:w="1206" w:type="pct"/>
            <w:tcBorders>
              <w:top w:val="single" w:sz="4" w:space="0" w:color="auto"/>
              <w:left w:val="nil"/>
              <w:bottom w:val="nil"/>
              <w:right w:val="nil"/>
            </w:tcBorders>
            <w:shd w:val="clear" w:color="auto" w:fill="auto"/>
            <w:noWrap/>
            <w:vAlign w:val="center"/>
          </w:tcPr>
          <w:p w14:paraId="70CE1758" w14:textId="77777777" w:rsidR="001E42F9" w:rsidRPr="004D096A" w:rsidRDefault="001E42F9" w:rsidP="00895606">
            <w:pPr>
              <w:jc w:val="center"/>
              <w:rPr>
                <w:sz w:val="18"/>
                <w:szCs w:val="18"/>
              </w:rPr>
            </w:pPr>
            <w:r w:rsidRPr="004D096A">
              <w:rPr>
                <w:sz w:val="18"/>
                <w:szCs w:val="18"/>
              </w:rPr>
              <w:t>A</w:t>
            </w:r>
          </w:p>
        </w:tc>
        <w:tc>
          <w:tcPr>
            <w:tcW w:w="1641" w:type="pct"/>
            <w:tcBorders>
              <w:top w:val="single" w:sz="4" w:space="0" w:color="auto"/>
              <w:left w:val="nil"/>
              <w:bottom w:val="nil"/>
              <w:right w:val="nil"/>
            </w:tcBorders>
            <w:vAlign w:val="center"/>
          </w:tcPr>
          <w:p w14:paraId="2D6271EC" w14:textId="77777777" w:rsidR="001E42F9" w:rsidRPr="004D096A" w:rsidRDefault="001E42F9" w:rsidP="00895606">
            <w:pPr>
              <w:jc w:val="center"/>
              <w:rPr>
                <w:sz w:val="18"/>
                <w:szCs w:val="18"/>
              </w:rPr>
            </w:pPr>
            <w:r w:rsidRPr="004D096A">
              <w:rPr>
                <w:sz w:val="18"/>
                <w:szCs w:val="18"/>
              </w:rPr>
              <w:t>B</w:t>
            </w:r>
          </w:p>
        </w:tc>
        <w:tc>
          <w:tcPr>
            <w:tcW w:w="1386" w:type="pct"/>
            <w:tcBorders>
              <w:top w:val="single" w:sz="4" w:space="0" w:color="auto"/>
              <w:left w:val="nil"/>
              <w:bottom w:val="nil"/>
              <w:right w:val="nil"/>
            </w:tcBorders>
            <w:shd w:val="clear" w:color="auto" w:fill="auto"/>
            <w:noWrap/>
            <w:vAlign w:val="center"/>
          </w:tcPr>
          <w:p w14:paraId="34B93464" w14:textId="77777777" w:rsidR="001E42F9" w:rsidRPr="004D096A" w:rsidRDefault="001E42F9" w:rsidP="00895606">
            <w:pPr>
              <w:jc w:val="center"/>
              <w:rPr>
                <w:sz w:val="18"/>
                <w:szCs w:val="18"/>
              </w:rPr>
            </w:pPr>
            <w:r w:rsidRPr="004D096A">
              <w:rPr>
                <w:sz w:val="18"/>
                <w:szCs w:val="18"/>
              </w:rPr>
              <w:t>A/B*100</w:t>
            </w:r>
          </w:p>
        </w:tc>
      </w:tr>
      <w:tr w:rsidR="001E42F9" w:rsidRPr="004D096A" w14:paraId="46A6F068" w14:textId="77777777" w:rsidTr="00836A79">
        <w:trPr>
          <w:trHeight w:val="255"/>
          <w:jc w:val="center"/>
        </w:trPr>
        <w:tc>
          <w:tcPr>
            <w:tcW w:w="766" w:type="pct"/>
            <w:tcBorders>
              <w:top w:val="nil"/>
              <w:left w:val="nil"/>
              <w:bottom w:val="nil"/>
              <w:right w:val="nil"/>
            </w:tcBorders>
            <w:shd w:val="clear" w:color="auto" w:fill="auto"/>
            <w:noWrap/>
            <w:vAlign w:val="bottom"/>
          </w:tcPr>
          <w:p w14:paraId="002F92EA" w14:textId="77777777" w:rsidR="001E42F9" w:rsidRPr="004D096A" w:rsidRDefault="001E42F9" w:rsidP="00895606">
            <w:pPr>
              <w:rPr>
                <w:b/>
                <w:i/>
                <w:sz w:val="18"/>
                <w:szCs w:val="18"/>
              </w:rPr>
            </w:pPr>
            <w:proofErr w:type="spellStart"/>
            <w:r>
              <w:rPr>
                <w:b/>
                <w:i/>
                <w:sz w:val="18"/>
                <w:szCs w:val="18"/>
              </w:rPr>
              <w:t>Marsabit</w:t>
            </w:r>
            <w:proofErr w:type="spellEnd"/>
            <w:r>
              <w:rPr>
                <w:b/>
                <w:i/>
                <w:sz w:val="18"/>
                <w:szCs w:val="18"/>
              </w:rPr>
              <w:t xml:space="preserve"> Town</w:t>
            </w:r>
          </w:p>
        </w:tc>
        <w:tc>
          <w:tcPr>
            <w:tcW w:w="1206" w:type="pct"/>
            <w:tcBorders>
              <w:top w:val="nil"/>
              <w:left w:val="nil"/>
              <w:bottom w:val="nil"/>
              <w:right w:val="nil"/>
            </w:tcBorders>
            <w:shd w:val="clear" w:color="auto" w:fill="auto"/>
            <w:noWrap/>
            <w:vAlign w:val="center"/>
          </w:tcPr>
          <w:p w14:paraId="3C23BEAD" w14:textId="77777777" w:rsidR="001E42F9" w:rsidRPr="004D096A" w:rsidRDefault="001E42F9" w:rsidP="00895606">
            <w:pPr>
              <w:jc w:val="center"/>
              <w:rPr>
                <w:sz w:val="18"/>
                <w:szCs w:val="18"/>
              </w:rPr>
            </w:pPr>
            <w:r w:rsidRPr="004D096A">
              <w:rPr>
                <w:sz w:val="18"/>
                <w:szCs w:val="18"/>
              </w:rPr>
              <w:t>180,837,500</w:t>
            </w:r>
          </w:p>
        </w:tc>
        <w:tc>
          <w:tcPr>
            <w:tcW w:w="1641" w:type="pct"/>
            <w:tcBorders>
              <w:top w:val="nil"/>
              <w:left w:val="nil"/>
              <w:bottom w:val="nil"/>
              <w:right w:val="nil"/>
            </w:tcBorders>
            <w:vAlign w:val="center"/>
          </w:tcPr>
          <w:p w14:paraId="4256B802" w14:textId="77777777" w:rsidR="001E42F9" w:rsidRPr="004D096A" w:rsidRDefault="001E42F9" w:rsidP="00895606">
            <w:pPr>
              <w:jc w:val="center"/>
              <w:rPr>
                <w:sz w:val="18"/>
                <w:szCs w:val="18"/>
              </w:rPr>
            </w:pPr>
            <w:r w:rsidRPr="004D096A">
              <w:rPr>
                <w:sz w:val="18"/>
                <w:szCs w:val="18"/>
              </w:rPr>
              <w:t>1,113,863</w:t>
            </w:r>
          </w:p>
        </w:tc>
        <w:tc>
          <w:tcPr>
            <w:tcW w:w="1386" w:type="pct"/>
            <w:tcBorders>
              <w:top w:val="nil"/>
              <w:left w:val="nil"/>
              <w:bottom w:val="nil"/>
              <w:right w:val="nil"/>
            </w:tcBorders>
            <w:shd w:val="clear" w:color="auto" w:fill="auto"/>
            <w:noWrap/>
            <w:vAlign w:val="center"/>
          </w:tcPr>
          <w:p w14:paraId="13DDFFB1" w14:textId="77777777" w:rsidR="001E42F9" w:rsidRPr="004D096A" w:rsidRDefault="001E42F9" w:rsidP="00895606">
            <w:pPr>
              <w:jc w:val="center"/>
              <w:rPr>
                <w:sz w:val="18"/>
                <w:szCs w:val="18"/>
              </w:rPr>
            </w:pPr>
            <w:r w:rsidRPr="004D096A">
              <w:rPr>
                <w:sz w:val="18"/>
                <w:szCs w:val="18"/>
              </w:rPr>
              <w:t>0.6%</w:t>
            </w:r>
          </w:p>
        </w:tc>
      </w:tr>
      <w:tr w:rsidR="001E42F9" w:rsidRPr="004D096A" w14:paraId="7EE8B676" w14:textId="77777777" w:rsidTr="00836A79">
        <w:trPr>
          <w:trHeight w:val="255"/>
          <w:jc w:val="center"/>
        </w:trPr>
        <w:tc>
          <w:tcPr>
            <w:tcW w:w="766" w:type="pct"/>
            <w:tcBorders>
              <w:top w:val="nil"/>
              <w:left w:val="nil"/>
              <w:bottom w:val="nil"/>
              <w:right w:val="nil"/>
            </w:tcBorders>
            <w:shd w:val="clear" w:color="auto" w:fill="auto"/>
            <w:noWrap/>
            <w:vAlign w:val="bottom"/>
          </w:tcPr>
          <w:p w14:paraId="0D61AE16" w14:textId="77777777" w:rsidR="001E42F9" w:rsidRPr="004D096A" w:rsidRDefault="001E42F9" w:rsidP="00895606">
            <w:pPr>
              <w:rPr>
                <w:b/>
                <w:i/>
                <w:sz w:val="18"/>
                <w:szCs w:val="18"/>
              </w:rPr>
            </w:pPr>
            <w:proofErr w:type="spellStart"/>
            <w:r w:rsidRPr="004D096A">
              <w:rPr>
                <w:b/>
                <w:i/>
                <w:sz w:val="18"/>
                <w:szCs w:val="18"/>
              </w:rPr>
              <w:t>Kargi</w:t>
            </w:r>
            <w:proofErr w:type="spellEnd"/>
          </w:p>
        </w:tc>
        <w:tc>
          <w:tcPr>
            <w:tcW w:w="1206" w:type="pct"/>
            <w:tcBorders>
              <w:top w:val="nil"/>
              <w:left w:val="nil"/>
              <w:bottom w:val="nil"/>
              <w:right w:val="nil"/>
            </w:tcBorders>
            <w:shd w:val="clear" w:color="auto" w:fill="auto"/>
            <w:noWrap/>
            <w:vAlign w:val="center"/>
          </w:tcPr>
          <w:p w14:paraId="77602F78" w14:textId="77777777" w:rsidR="001E42F9" w:rsidRPr="004D096A" w:rsidRDefault="001E42F9" w:rsidP="00895606">
            <w:pPr>
              <w:jc w:val="center"/>
              <w:rPr>
                <w:sz w:val="18"/>
                <w:szCs w:val="18"/>
              </w:rPr>
            </w:pPr>
            <w:r w:rsidRPr="004D096A">
              <w:rPr>
                <w:sz w:val="18"/>
                <w:szCs w:val="18"/>
              </w:rPr>
              <w:t>9,603,500</w:t>
            </w:r>
          </w:p>
        </w:tc>
        <w:tc>
          <w:tcPr>
            <w:tcW w:w="1641" w:type="pct"/>
            <w:tcBorders>
              <w:top w:val="nil"/>
              <w:left w:val="nil"/>
              <w:bottom w:val="nil"/>
              <w:right w:val="nil"/>
            </w:tcBorders>
            <w:vAlign w:val="center"/>
          </w:tcPr>
          <w:p w14:paraId="400A189D" w14:textId="77777777" w:rsidR="001E42F9" w:rsidRPr="004D096A" w:rsidRDefault="001E42F9" w:rsidP="00895606">
            <w:pPr>
              <w:jc w:val="center"/>
              <w:rPr>
                <w:sz w:val="18"/>
                <w:szCs w:val="18"/>
              </w:rPr>
            </w:pPr>
            <w:r w:rsidRPr="004D096A">
              <w:rPr>
                <w:sz w:val="18"/>
                <w:szCs w:val="18"/>
              </w:rPr>
              <w:t>1,210,204</w:t>
            </w:r>
          </w:p>
        </w:tc>
        <w:tc>
          <w:tcPr>
            <w:tcW w:w="1386" w:type="pct"/>
            <w:tcBorders>
              <w:top w:val="nil"/>
              <w:left w:val="nil"/>
              <w:bottom w:val="nil"/>
              <w:right w:val="nil"/>
            </w:tcBorders>
            <w:shd w:val="clear" w:color="auto" w:fill="auto"/>
            <w:noWrap/>
            <w:vAlign w:val="center"/>
          </w:tcPr>
          <w:p w14:paraId="5E5F08FD" w14:textId="77777777" w:rsidR="001E42F9" w:rsidRPr="004D096A" w:rsidRDefault="001E42F9" w:rsidP="00895606">
            <w:pPr>
              <w:jc w:val="center"/>
              <w:rPr>
                <w:sz w:val="18"/>
                <w:szCs w:val="18"/>
              </w:rPr>
            </w:pPr>
            <w:r w:rsidRPr="004D096A">
              <w:rPr>
                <w:sz w:val="18"/>
                <w:szCs w:val="18"/>
              </w:rPr>
              <w:t>12.6%</w:t>
            </w:r>
          </w:p>
        </w:tc>
      </w:tr>
      <w:tr w:rsidR="001E42F9" w:rsidRPr="004D096A" w14:paraId="29CFA5A8" w14:textId="77777777" w:rsidTr="00836A79">
        <w:trPr>
          <w:trHeight w:val="255"/>
          <w:jc w:val="center"/>
        </w:trPr>
        <w:tc>
          <w:tcPr>
            <w:tcW w:w="766" w:type="pct"/>
            <w:tcBorders>
              <w:top w:val="nil"/>
              <w:left w:val="nil"/>
              <w:bottom w:val="nil"/>
              <w:right w:val="nil"/>
            </w:tcBorders>
            <w:shd w:val="clear" w:color="auto" w:fill="auto"/>
            <w:noWrap/>
            <w:vAlign w:val="bottom"/>
          </w:tcPr>
          <w:p w14:paraId="40ACC3EE" w14:textId="77777777" w:rsidR="001E42F9" w:rsidRPr="004D096A" w:rsidRDefault="001E42F9" w:rsidP="00895606">
            <w:pPr>
              <w:rPr>
                <w:b/>
                <w:i/>
                <w:sz w:val="18"/>
                <w:szCs w:val="18"/>
              </w:rPr>
            </w:pPr>
            <w:proofErr w:type="spellStart"/>
            <w:r w:rsidRPr="004D096A">
              <w:rPr>
                <w:b/>
                <w:i/>
                <w:sz w:val="18"/>
                <w:szCs w:val="18"/>
              </w:rPr>
              <w:t>Logologo</w:t>
            </w:r>
            <w:proofErr w:type="spellEnd"/>
          </w:p>
        </w:tc>
        <w:tc>
          <w:tcPr>
            <w:tcW w:w="1206" w:type="pct"/>
            <w:tcBorders>
              <w:top w:val="nil"/>
              <w:left w:val="nil"/>
              <w:bottom w:val="nil"/>
              <w:right w:val="nil"/>
            </w:tcBorders>
            <w:shd w:val="clear" w:color="auto" w:fill="auto"/>
            <w:noWrap/>
            <w:vAlign w:val="center"/>
          </w:tcPr>
          <w:p w14:paraId="3EE54D10" w14:textId="77777777" w:rsidR="001E42F9" w:rsidRPr="004D096A" w:rsidRDefault="001E42F9" w:rsidP="00895606">
            <w:pPr>
              <w:jc w:val="center"/>
              <w:rPr>
                <w:sz w:val="18"/>
                <w:szCs w:val="18"/>
              </w:rPr>
            </w:pPr>
            <w:r w:rsidRPr="004D096A">
              <w:rPr>
                <w:sz w:val="18"/>
                <w:szCs w:val="18"/>
              </w:rPr>
              <w:t>2,447,700</w:t>
            </w:r>
          </w:p>
        </w:tc>
        <w:tc>
          <w:tcPr>
            <w:tcW w:w="1641" w:type="pct"/>
            <w:tcBorders>
              <w:top w:val="nil"/>
              <w:left w:val="nil"/>
              <w:bottom w:val="nil"/>
              <w:right w:val="nil"/>
            </w:tcBorders>
            <w:vAlign w:val="center"/>
          </w:tcPr>
          <w:p w14:paraId="7DCA4337" w14:textId="77777777" w:rsidR="001E42F9" w:rsidRPr="004D096A" w:rsidRDefault="001E42F9" w:rsidP="00895606">
            <w:pPr>
              <w:jc w:val="center"/>
              <w:rPr>
                <w:sz w:val="18"/>
                <w:szCs w:val="18"/>
              </w:rPr>
            </w:pPr>
            <w:r w:rsidRPr="004D096A">
              <w:rPr>
                <w:sz w:val="18"/>
                <w:szCs w:val="18"/>
              </w:rPr>
              <w:t>1,203,198</w:t>
            </w:r>
          </w:p>
        </w:tc>
        <w:tc>
          <w:tcPr>
            <w:tcW w:w="1386" w:type="pct"/>
            <w:tcBorders>
              <w:top w:val="nil"/>
              <w:left w:val="nil"/>
              <w:bottom w:val="nil"/>
              <w:right w:val="nil"/>
            </w:tcBorders>
            <w:shd w:val="clear" w:color="auto" w:fill="auto"/>
            <w:noWrap/>
            <w:vAlign w:val="center"/>
          </w:tcPr>
          <w:p w14:paraId="53817E1B" w14:textId="77777777" w:rsidR="001E42F9" w:rsidRPr="004D096A" w:rsidRDefault="001E42F9" w:rsidP="00895606">
            <w:pPr>
              <w:jc w:val="center"/>
              <w:rPr>
                <w:sz w:val="18"/>
                <w:szCs w:val="18"/>
              </w:rPr>
            </w:pPr>
            <w:r w:rsidRPr="004D096A">
              <w:rPr>
                <w:sz w:val="18"/>
                <w:szCs w:val="18"/>
              </w:rPr>
              <w:t>49.2%</w:t>
            </w:r>
          </w:p>
        </w:tc>
      </w:tr>
      <w:tr w:rsidR="001E42F9" w:rsidRPr="004D096A" w14:paraId="458ADD2B" w14:textId="77777777" w:rsidTr="00836A79">
        <w:trPr>
          <w:trHeight w:val="255"/>
          <w:jc w:val="center"/>
        </w:trPr>
        <w:tc>
          <w:tcPr>
            <w:tcW w:w="766" w:type="pct"/>
            <w:tcBorders>
              <w:top w:val="nil"/>
              <w:left w:val="nil"/>
              <w:right w:val="nil"/>
            </w:tcBorders>
            <w:shd w:val="clear" w:color="auto" w:fill="auto"/>
            <w:noWrap/>
            <w:vAlign w:val="bottom"/>
          </w:tcPr>
          <w:p w14:paraId="1E12DB53" w14:textId="77777777" w:rsidR="001E42F9" w:rsidRPr="004D096A" w:rsidRDefault="001E42F9" w:rsidP="00895606">
            <w:pPr>
              <w:rPr>
                <w:b/>
                <w:i/>
                <w:sz w:val="18"/>
                <w:szCs w:val="18"/>
              </w:rPr>
            </w:pPr>
            <w:proofErr w:type="spellStart"/>
            <w:r w:rsidRPr="004D096A">
              <w:rPr>
                <w:b/>
                <w:i/>
                <w:sz w:val="18"/>
                <w:szCs w:val="18"/>
              </w:rPr>
              <w:t>Loiyangalani</w:t>
            </w:r>
            <w:proofErr w:type="spellEnd"/>
          </w:p>
        </w:tc>
        <w:tc>
          <w:tcPr>
            <w:tcW w:w="1206" w:type="pct"/>
            <w:tcBorders>
              <w:top w:val="nil"/>
              <w:left w:val="nil"/>
              <w:right w:val="nil"/>
            </w:tcBorders>
            <w:shd w:val="clear" w:color="auto" w:fill="auto"/>
            <w:noWrap/>
            <w:vAlign w:val="center"/>
          </w:tcPr>
          <w:p w14:paraId="5474C8F5" w14:textId="77777777" w:rsidR="001E42F9" w:rsidRPr="004D096A" w:rsidRDefault="001E42F9" w:rsidP="00895606">
            <w:pPr>
              <w:jc w:val="center"/>
              <w:rPr>
                <w:sz w:val="18"/>
                <w:szCs w:val="18"/>
              </w:rPr>
            </w:pPr>
            <w:r w:rsidRPr="004D096A">
              <w:rPr>
                <w:sz w:val="18"/>
                <w:szCs w:val="18"/>
              </w:rPr>
              <w:t>8,162,634</w:t>
            </w:r>
          </w:p>
        </w:tc>
        <w:tc>
          <w:tcPr>
            <w:tcW w:w="1641" w:type="pct"/>
            <w:tcBorders>
              <w:top w:val="nil"/>
              <w:left w:val="nil"/>
              <w:right w:val="nil"/>
            </w:tcBorders>
            <w:vAlign w:val="center"/>
          </w:tcPr>
          <w:p w14:paraId="1F4E35A0" w14:textId="77777777" w:rsidR="001E42F9" w:rsidRPr="004D096A" w:rsidRDefault="001E42F9" w:rsidP="00895606">
            <w:pPr>
              <w:jc w:val="center"/>
              <w:rPr>
                <w:sz w:val="18"/>
                <w:szCs w:val="18"/>
              </w:rPr>
            </w:pPr>
            <w:r w:rsidRPr="004D096A">
              <w:rPr>
                <w:sz w:val="18"/>
                <w:szCs w:val="18"/>
              </w:rPr>
              <w:t>938,924</w:t>
            </w:r>
          </w:p>
        </w:tc>
        <w:tc>
          <w:tcPr>
            <w:tcW w:w="1386" w:type="pct"/>
            <w:tcBorders>
              <w:top w:val="nil"/>
              <w:left w:val="nil"/>
              <w:right w:val="nil"/>
            </w:tcBorders>
            <w:shd w:val="clear" w:color="auto" w:fill="auto"/>
            <w:noWrap/>
            <w:vAlign w:val="center"/>
          </w:tcPr>
          <w:p w14:paraId="166BEDB4" w14:textId="77777777" w:rsidR="001E42F9" w:rsidRPr="004D096A" w:rsidRDefault="001E42F9" w:rsidP="00895606">
            <w:pPr>
              <w:jc w:val="center"/>
              <w:rPr>
                <w:sz w:val="18"/>
                <w:szCs w:val="18"/>
              </w:rPr>
            </w:pPr>
            <w:r w:rsidRPr="004D096A">
              <w:rPr>
                <w:sz w:val="18"/>
                <w:szCs w:val="18"/>
              </w:rPr>
              <w:t>11.5%</w:t>
            </w:r>
          </w:p>
        </w:tc>
      </w:tr>
      <w:tr w:rsidR="001E42F9" w:rsidRPr="004D096A" w14:paraId="7743736E" w14:textId="77777777" w:rsidTr="00836A79">
        <w:trPr>
          <w:trHeight w:val="255"/>
          <w:jc w:val="center"/>
        </w:trPr>
        <w:tc>
          <w:tcPr>
            <w:tcW w:w="766" w:type="pct"/>
            <w:tcBorders>
              <w:top w:val="nil"/>
              <w:left w:val="nil"/>
              <w:bottom w:val="single" w:sz="4" w:space="0" w:color="auto"/>
              <w:right w:val="nil"/>
            </w:tcBorders>
            <w:shd w:val="clear" w:color="auto" w:fill="auto"/>
            <w:noWrap/>
            <w:vAlign w:val="bottom"/>
          </w:tcPr>
          <w:p w14:paraId="7B539F19" w14:textId="77777777" w:rsidR="001E42F9" w:rsidRPr="004D096A" w:rsidRDefault="001E42F9" w:rsidP="00895606">
            <w:pPr>
              <w:rPr>
                <w:b/>
                <w:i/>
                <w:sz w:val="18"/>
                <w:szCs w:val="18"/>
              </w:rPr>
            </w:pPr>
            <w:r w:rsidRPr="004D096A">
              <w:rPr>
                <w:b/>
                <w:i/>
                <w:sz w:val="18"/>
                <w:szCs w:val="18"/>
              </w:rPr>
              <w:t xml:space="preserve">North </w:t>
            </w:r>
            <w:proofErr w:type="spellStart"/>
            <w:r w:rsidRPr="004D096A">
              <w:rPr>
                <w:b/>
                <w:i/>
                <w:sz w:val="18"/>
                <w:szCs w:val="18"/>
              </w:rPr>
              <w:t>Horr</w:t>
            </w:r>
            <w:proofErr w:type="spellEnd"/>
          </w:p>
        </w:tc>
        <w:tc>
          <w:tcPr>
            <w:tcW w:w="1206" w:type="pct"/>
            <w:tcBorders>
              <w:top w:val="nil"/>
              <w:left w:val="nil"/>
              <w:bottom w:val="single" w:sz="4" w:space="0" w:color="auto"/>
              <w:right w:val="nil"/>
            </w:tcBorders>
            <w:shd w:val="clear" w:color="auto" w:fill="auto"/>
            <w:noWrap/>
            <w:vAlign w:val="center"/>
          </w:tcPr>
          <w:p w14:paraId="520B722D" w14:textId="77777777" w:rsidR="001E42F9" w:rsidRPr="004D096A" w:rsidRDefault="001E42F9" w:rsidP="00895606">
            <w:pPr>
              <w:jc w:val="center"/>
              <w:rPr>
                <w:sz w:val="18"/>
                <w:szCs w:val="18"/>
              </w:rPr>
            </w:pPr>
            <w:r w:rsidRPr="004D096A">
              <w:rPr>
                <w:sz w:val="18"/>
                <w:szCs w:val="18"/>
              </w:rPr>
              <w:t>6,547,308</w:t>
            </w:r>
          </w:p>
        </w:tc>
        <w:tc>
          <w:tcPr>
            <w:tcW w:w="1641" w:type="pct"/>
            <w:tcBorders>
              <w:top w:val="nil"/>
              <w:left w:val="nil"/>
              <w:bottom w:val="single" w:sz="4" w:space="0" w:color="auto"/>
              <w:right w:val="nil"/>
            </w:tcBorders>
            <w:vAlign w:val="center"/>
          </w:tcPr>
          <w:p w14:paraId="1C27F800" w14:textId="77777777" w:rsidR="001E42F9" w:rsidRPr="004D096A" w:rsidRDefault="001E42F9" w:rsidP="00895606">
            <w:pPr>
              <w:jc w:val="center"/>
              <w:rPr>
                <w:sz w:val="18"/>
                <w:szCs w:val="18"/>
              </w:rPr>
            </w:pPr>
            <w:r w:rsidRPr="004D096A">
              <w:rPr>
                <w:sz w:val="18"/>
                <w:szCs w:val="18"/>
              </w:rPr>
              <w:t>1,574,597</w:t>
            </w:r>
          </w:p>
        </w:tc>
        <w:tc>
          <w:tcPr>
            <w:tcW w:w="1386" w:type="pct"/>
            <w:tcBorders>
              <w:top w:val="nil"/>
              <w:left w:val="nil"/>
              <w:bottom w:val="single" w:sz="4" w:space="0" w:color="auto"/>
              <w:right w:val="nil"/>
            </w:tcBorders>
            <w:shd w:val="clear" w:color="auto" w:fill="auto"/>
            <w:noWrap/>
            <w:vAlign w:val="center"/>
          </w:tcPr>
          <w:p w14:paraId="4461CEB3" w14:textId="77777777" w:rsidR="001E42F9" w:rsidRPr="004D096A" w:rsidRDefault="001E42F9" w:rsidP="00895606">
            <w:pPr>
              <w:jc w:val="center"/>
              <w:rPr>
                <w:sz w:val="18"/>
                <w:szCs w:val="18"/>
              </w:rPr>
            </w:pPr>
            <w:r w:rsidRPr="004D096A">
              <w:rPr>
                <w:sz w:val="18"/>
                <w:szCs w:val="18"/>
              </w:rPr>
              <w:t>24.0%</w:t>
            </w:r>
          </w:p>
        </w:tc>
      </w:tr>
    </w:tbl>
    <w:p w14:paraId="71B02AF5" w14:textId="2AAB2C53" w:rsidR="001E42F9" w:rsidRPr="00836A79" w:rsidRDefault="0081549A" w:rsidP="001E42F9">
      <w:pPr>
        <w:jc w:val="both"/>
        <w:rPr>
          <w:i/>
        </w:rPr>
      </w:pPr>
      <w:r>
        <w:t xml:space="preserve">Source: </w:t>
      </w:r>
      <w:r w:rsidR="00836A79">
        <w:t>Mude et al. (forthcoming)</w:t>
      </w:r>
    </w:p>
    <w:p w14:paraId="0E6CFDB5" w14:textId="77777777" w:rsidR="0081549A" w:rsidRDefault="0081549A" w:rsidP="00836A79"/>
    <w:p w14:paraId="064DB03F" w14:textId="0D6EE3A7" w:rsidR="00E40BEB" w:rsidRDefault="001E42F9" w:rsidP="00B1392D">
      <w:proofErr w:type="spellStart"/>
      <w:r>
        <w:t>Dirib</w:t>
      </w:r>
      <w:proofErr w:type="spellEnd"/>
      <w:r>
        <w:t xml:space="preserve"> </w:t>
      </w:r>
      <w:proofErr w:type="spellStart"/>
      <w:r>
        <w:t>Gombo</w:t>
      </w:r>
      <w:proofErr w:type="spellEnd"/>
      <w:r>
        <w:t xml:space="preserve">, whose retailers stock up from </w:t>
      </w:r>
      <w:proofErr w:type="spellStart"/>
      <w:r>
        <w:t>Marsabit</w:t>
      </w:r>
      <w:proofErr w:type="spellEnd"/>
      <w:r>
        <w:t xml:space="preserve"> town due to its proximity (less than 15kms away), naturally requires a trivial fraction of the town’s wholesale surplus capacity to meet its demand needs. And while </w:t>
      </w:r>
      <w:proofErr w:type="spellStart"/>
      <w:r>
        <w:t>Marsabit</w:t>
      </w:r>
      <w:proofErr w:type="spellEnd"/>
      <w:r>
        <w:t xml:space="preserve"> town acts as a central hub for many wholesalers and retailers in various towns in </w:t>
      </w:r>
      <w:proofErr w:type="spellStart"/>
      <w:r>
        <w:t>Marsabit</w:t>
      </w:r>
      <w:proofErr w:type="spellEnd"/>
      <w:r w:rsidR="00925A01">
        <w:t xml:space="preserve"> district</w:t>
      </w:r>
      <w:r>
        <w:t xml:space="preserve">, at only 0.6 percent, </w:t>
      </w:r>
      <w:proofErr w:type="spellStart"/>
      <w:r>
        <w:t>Marsabit</w:t>
      </w:r>
      <w:proofErr w:type="spellEnd"/>
      <w:r>
        <w:t xml:space="preserve"> town should be able to comfortably handle a demand response equal to 166 times </w:t>
      </w:r>
      <w:proofErr w:type="spellStart"/>
      <w:r>
        <w:t>Dirib</w:t>
      </w:r>
      <w:proofErr w:type="spellEnd"/>
      <w:r>
        <w:t xml:space="preserve"> </w:t>
      </w:r>
      <w:proofErr w:type="spellStart"/>
      <w:r>
        <w:t>Gombo’s</w:t>
      </w:r>
      <w:proofErr w:type="spellEnd"/>
      <w:r>
        <w:t xml:space="preserve">. As </w:t>
      </w:r>
      <w:proofErr w:type="spellStart"/>
      <w:r>
        <w:t>Dirib</w:t>
      </w:r>
      <w:proofErr w:type="spellEnd"/>
      <w:r>
        <w:t xml:space="preserve"> </w:t>
      </w:r>
      <w:proofErr w:type="spellStart"/>
      <w:r>
        <w:t>Gombo</w:t>
      </w:r>
      <w:proofErr w:type="spellEnd"/>
      <w:r>
        <w:t xml:space="preserve"> has a marginal propensity to consume food and a food aid basket value that is greater than the average of other communities, </w:t>
      </w:r>
      <w:proofErr w:type="spellStart"/>
      <w:r>
        <w:t>Marsabit</w:t>
      </w:r>
      <w:proofErr w:type="spellEnd"/>
      <w:r>
        <w:t xml:space="preserve"> town should be able to meet a cash transfer induced demand response equivalent </w:t>
      </w:r>
      <w:r w:rsidR="001D4421">
        <w:t xml:space="preserve">to </w:t>
      </w:r>
      <w:r>
        <w:t xml:space="preserve">that generated by over 190,000 households – 166 times the population of </w:t>
      </w:r>
      <w:proofErr w:type="spellStart"/>
      <w:r>
        <w:t>Dirib</w:t>
      </w:r>
      <w:proofErr w:type="spellEnd"/>
      <w:r>
        <w:t xml:space="preserve"> </w:t>
      </w:r>
      <w:proofErr w:type="spellStart"/>
      <w:r>
        <w:t>Gombo</w:t>
      </w:r>
      <w:proofErr w:type="spellEnd"/>
      <w:r>
        <w:t>. This</w:t>
      </w:r>
      <w:r w:rsidR="001D4421">
        <w:t xml:space="preserve"> capacity</w:t>
      </w:r>
      <w:r>
        <w:t xml:space="preserve"> is </w:t>
      </w:r>
      <w:r w:rsidR="001D4421">
        <w:t>greater than</w:t>
      </w:r>
      <w:r>
        <w:t xml:space="preserve"> the 160,000 households estimated to inhab</w:t>
      </w:r>
      <w:r w:rsidR="00B1392D">
        <w:t xml:space="preserve">it the entire </w:t>
      </w:r>
      <w:proofErr w:type="spellStart"/>
      <w:r w:rsidR="00B1392D">
        <w:t>Marsabit</w:t>
      </w:r>
      <w:proofErr w:type="spellEnd"/>
      <w:r w:rsidR="00B1392D">
        <w:t xml:space="preserve"> district.</w:t>
      </w:r>
      <w:r>
        <w:t xml:space="preserve"> It certainly seems that </w:t>
      </w:r>
      <w:r>
        <w:lastRenderedPageBreak/>
        <w:t xml:space="preserve">barring a major conflict or substantial damage in transport and marketing infrastructure, the markets of </w:t>
      </w:r>
      <w:proofErr w:type="spellStart"/>
      <w:r>
        <w:t>Marsabit</w:t>
      </w:r>
      <w:proofErr w:type="spellEnd"/>
      <w:r>
        <w:t xml:space="preserve"> town and its satellite locations are more than capable of catering to the level of demand increases likely to result from a substantial cash transfer program.</w:t>
      </w:r>
    </w:p>
    <w:p w14:paraId="6D6F09CC" w14:textId="77777777" w:rsidR="00E40BEB" w:rsidRDefault="00E40BEB" w:rsidP="00B1392D">
      <w:pPr>
        <w:pStyle w:val="NormalJustified"/>
        <w:rPr>
          <w:i w:val="0"/>
        </w:rPr>
      </w:pPr>
    </w:p>
    <w:p w14:paraId="01F9FD42" w14:textId="48EBDAE0" w:rsidR="009F76C0" w:rsidRPr="009F76C0" w:rsidRDefault="001E42F9" w:rsidP="009F76C0">
      <w:pPr>
        <w:pStyle w:val="NormalJustified"/>
        <w:rPr>
          <w:rFonts w:ascii="Cambria" w:hAnsi="Cambria"/>
        </w:rPr>
      </w:pPr>
      <w:r w:rsidRPr="0092711F">
        <w:rPr>
          <w:rFonts w:ascii="Cambria" w:hAnsi="Cambria"/>
          <w:i w:val="0"/>
        </w:rPr>
        <w:t xml:space="preserve">A related analysis further confirms this result. In </w:t>
      </w:r>
      <w:r w:rsidR="006C5420">
        <w:rPr>
          <w:rFonts w:ascii="Cambria" w:hAnsi="Cambria"/>
          <w:i w:val="0"/>
        </w:rPr>
        <w:t>the figure below</w:t>
      </w:r>
      <w:r w:rsidRPr="0092711F">
        <w:rPr>
          <w:rFonts w:ascii="Cambria" w:hAnsi="Cambria"/>
          <w:i w:val="0"/>
        </w:rPr>
        <w:t xml:space="preserve">, we present results of the following question, posed to traders:  </w:t>
      </w:r>
      <w:r w:rsidRPr="0092711F">
        <w:rPr>
          <w:rFonts w:ascii="Cambria" w:hAnsi="Cambria"/>
        </w:rPr>
        <w:t>What would need to change for you to be willing to increase your capacity beyond your current maximum at current sales prices?</w:t>
      </w:r>
      <w:r w:rsidRPr="0092711F">
        <w:rPr>
          <w:rFonts w:ascii="Cambria" w:hAnsi="Cambria"/>
          <w:i w:val="0"/>
        </w:rPr>
        <w:t xml:space="preserve">  That ‘increased demand’ is overwhelmingly ranked first indicates the capacity and willingness of traders to respond accordingly to a spike in demand. In addition, the fact that the previous analysis did not take into account the stocking rate response to a demand increase strengthens our result that the market supply would more than adequately absorb demand spikes due to a cash transfer.</w:t>
      </w:r>
      <w:r w:rsidR="009F76C0">
        <w:rPr>
          <w:rFonts w:ascii="Cambria" w:hAnsi="Cambria"/>
          <w:i w:val="0"/>
        </w:rPr>
        <w:t xml:space="preserve"> </w:t>
      </w:r>
    </w:p>
    <w:p w14:paraId="09AEE063" w14:textId="77777777" w:rsidR="001E42F9" w:rsidRPr="0092711F" w:rsidRDefault="001E42F9" w:rsidP="001E42F9">
      <w:pPr>
        <w:jc w:val="both"/>
        <w:rPr>
          <w:rFonts w:ascii="Cambria" w:hAnsi="Cambria"/>
        </w:rPr>
      </w:pPr>
    </w:p>
    <w:p w14:paraId="14E2FCB3" w14:textId="0A24C6A2" w:rsidR="001E42F9" w:rsidRDefault="001E42F9" w:rsidP="001E42F9">
      <w:pPr>
        <w:pStyle w:val="Caption"/>
        <w:rPr>
          <w:sz w:val="24"/>
          <w:szCs w:val="24"/>
          <w:lang w:val="en-GB"/>
        </w:rPr>
      </w:pPr>
      <w:r w:rsidRPr="004A3FC3">
        <w:rPr>
          <w:sz w:val="24"/>
          <w:szCs w:val="24"/>
          <w:lang w:val="en-GB"/>
        </w:rPr>
        <w:t>Factor</w:t>
      </w:r>
      <w:r w:rsidR="001D4421">
        <w:rPr>
          <w:sz w:val="24"/>
          <w:szCs w:val="24"/>
          <w:lang w:val="en-GB"/>
        </w:rPr>
        <w:t>s</w:t>
      </w:r>
      <w:r w:rsidRPr="004A3FC3">
        <w:rPr>
          <w:sz w:val="24"/>
          <w:szCs w:val="24"/>
          <w:lang w:val="en-GB"/>
        </w:rPr>
        <w:t xml:space="preserve"> necessary for traders to increase their maximum stocking capacity at current sales prices</w:t>
      </w:r>
    </w:p>
    <w:p w14:paraId="6305247C" w14:textId="77777777" w:rsidR="001E42F9" w:rsidRPr="00DD7D5C" w:rsidRDefault="001E42F9" w:rsidP="001E42F9">
      <w:pPr>
        <w:rPr>
          <w:lang w:val="en-GB"/>
        </w:rPr>
      </w:pPr>
    </w:p>
    <w:p w14:paraId="5755917F" w14:textId="77777777" w:rsidR="001E42F9" w:rsidRDefault="001E42F9" w:rsidP="001E42F9">
      <w:r>
        <w:rPr>
          <w:b/>
          <w:noProof/>
        </w:rPr>
        <w:drawing>
          <wp:inline distT="0" distB="0" distL="0" distR="0" wp14:anchorId="05579DBC" wp14:editId="0D4ADC1D">
            <wp:extent cx="3750945" cy="2743200"/>
            <wp:effectExtent l="25400" t="0" r="8255" b="0"/>
            <wp:docPr id="5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3750945" cy="2743200"/>
                    </a:xfrm>
                    <a:prstGeom prst="rect">
                      <a:avLst/>
                    </a:prstGeom>
                    <a:noFill/>
                    <a:ln w="9525">
                      <a:noFill/>
                      <a:miter lim="800000"/>
                      <a:headEnd/>
                      <a:tailEnd/>
                    </a:ln>
                  </pic:spPr>
                </pic:pic>
              </a:graphicData>
            </a:graphic>
          </wp:inline>
        </w:drawing>
      </w:r>
    </w:p>
    <w:p w14:paraId="08BB96EC" w14:textId="71736FF9" w:rsidR="001E42F9" w:rsidRDefault="0081549A" w:rsidP="001E42F9">
      <w:r>
        <w:t xml:space="preserve">Source: </w:t>
      </w:r>
      <w:r w:rsidR="006512D8">
        <w:t>Mude et al. (</w:t>
      </w:r>
      <w:r w:rsidR="00A05EC3">
        <w:t>forthcoming)</w:t>
      </w:r>
    </w:p>
    <w:p w14:paraId="1F9990C9" w14:textId="77777777" w:rsidR="0081549A" w:rsidRDefault="0081549A" w:rsidP="00B1392D"/>
    <w:p w14:paraId="61543992" w14:textId="23A9DE42" w:rsidR="00E40BEB" w:rsidRDefault="001E42F9" w:rsidP="00B1392D">
      <w:r>
        <w:t>Having estimated traders’ excess capacity keeping their access to storage, transport, and credit constant,</w:t>
      </w:r>
      <w:r w:rsidRPr="00415B9A">
        <w:t xml:space="preserve"> </w:t>
      </w:r>
      <w:r>
        <w:t>we now examine the</w:t>
      </w:r>
      <w:r w:rsidRPr="00415B9A">
        <w:t xml:space="preserve"> potential</w:t>
      </w:r>
      <w:r>
        <w:t xml:space="preserve"> sources of supply bottlenecks in the event of a sudden increase in demand from multiple traders. Asking traders to rank the factors that may affect how fast they were able to source the commodities to meet a spike in demand, the top ranked constraint for retailers and wholesalers was their cash on hand:  that is, it may take them some</w:t>
      </w:r>
      <w:r w:rsidR="001D4421">
        <w:t xml:space="preserve"> </w:t>
      </w:r>
      <w:r>
        <w:t xml:space="preserve">time to put together the cash needed to purchase the commodities in demand (see </w:t>
      </w:r>
      <w:r w:rsidR="00EF4207">
        <w:t>figure below</w:t>
      </w:r>
      <w:r>
        <w:t xml:space="preserve">). As we have mentioned before, extending credit to customers is very common for both traders and wholesalers and an immediate spike in demand may require greater urgency in demanding credit repayments.  </w:t>
      </w:r>
    </w:p>
    <w:p w14:paraId="77318BF9" w14:textId="77777777" w:rsidR="001E42F9" w:rsidRDefault="001E42F9" w:rsidP="001E42F9"/>
    <w:p w14:paraId="42D3CBEA" w14:textId="46C04279" w:rsidR="001E42F9" w:rsidRDefault="001E42F9" w:rsidP="001E42F9">
      <w:pPr>
        <w:pStyle w:val="Caption"/>
        <w:rPr>
          <w:sz w:val="24"/>
          <w:szCs w:val="24"/>
          <w:lang w:val="en-GB"/>
        </w:rPr>
      </w:pPr>
      <w:r w:rsidRPr="004A3FC3">
        <w:rPr>
          <w:sz w:val="24"/>
          <w:szCs w:val="24"/>
          <w:lang w:val="en-GB"/>
        </w:rPr>
        <w:lastRenderedPageBreak/>
        <w:t>Factors affecting the speed at which extra supply is sourced</w:t>
      </w:r>
    </w:p>
    <w:p w14:paraId="52429E9B" w14:textId="77777777" w:rsidR="001E42F9" w:rsidRDefault="001E42F9" w:rsidP="001E42F9">
      <w:pPr>
        <w:rPr>
          <w:b/>
        </w:rPr>
      </w:pPr>
    </w:p>
    <w:p w14:paraId="60CB8EE7" w14:textId="77777777" w:rsidR="001E42F9" w:rsidRDefault="001E42F9" w:rsidP="001E42F9">
      <w:pPr>
        <w:rPr>
          <w:b/>
        </w:rPr>
      </w:pPr>
      <w:r>
        <w:rPr>
          <w:noProof/>
        </w:rPr>
        <w:drawing>
          <wp:inline distT="0" distB="0" distL="0" distR="0" wp14:anchorId="0BEAFB76" wp14:editId="50BD96D0">
            <wp:extent cx="4013200" cy="2938145"/>
            <wp:effectExtent l="25400" t="0" r="0" b="0"/>
            <wp:docPr id="5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4013200" cy="2938145"/>
                    </a:xfrm>
                    <a:prstGeom prst="rect">
                      <a:avLst/>
                    </a:prstGeom>
                    <a:noFill/>
                    <a:ln w="9525">
                      <a:noFill/>
                      <a:miter lim="800000"/>
                      <a:headEnd/>
                      <a:tailEnd/>
                    </a:ln>
                  </pic:spPr>
                </pic:pic>
              </a:graphicData>
            </a:graphic>
          </wp:inline>
        </w:drawing>
      </w:r>
    </w:p>
    <w:p w14:paraId="7C3611A6" w14:textId="0DDA6A7F" w:rsidR="001E42F9" w:rsidRPr="0095083F" w:rsidRDefault="0081549A" w:rsidP="001E42F9">
      <w:r>
        <w:t xml:space="preserve">Source: </w:t>
      </w:r>
      <w:r w:rsidR="006512D8">
        <w:t xml:space="preserve">Mude et al. </w:t>
      </w:r>
      <w:r>
        <w:t>(</w:t>
      </w:r>
      <w:r w:rsidR="00A05EC3">
        <w:t>forthcoming)</w:t>
      </w:r>
    </w:p>
    <w:p w14:paraId="4150166C" w14:textId="77777777" w:rsidR="0081549A" w:rsidRDefault="0081549A" w:rsidP="0095083F"/>
    <w:p w14:paraId="387916A9" w14:textId="20D7EC3B" w:rsidR="007F0F88" w:rsidRDefault="001E42F9" w:rsidP="0095083F">
      <w:r>
        <w:t xml:space="preserve">Interestingly, accessing credit did not feature as a key constraint to making quick and substantial purchasing decisions. Indeed, five out of six wholesalers say that they can access additional credit or goods on credit quite easily or very easily get a loan for greater that 100,000Ksh. </w:t>
      </w:r>
      <w:r w:rsidR="001D4421">
        <w:t xml:space="preserve">Although </w:t>
      </w:r>
      <w:r>
        <w:t>using credit for purchases would require negotiation and entail an application process that would slow down the purchase decision relative to cash, the fact that accessing credit seems relatively easy suggests that cash, through ranked as the top-most constraint, is not a pressing obstacle to sourcing supply. That commodity and transport availability are ranked second and third after cash therefore implies that the time delay in sourcing the necessary amount of commodity or identifying transport should also not be substantial constraint.</w:t>
      </w:r>
      <w:r w:rsidR="00D240A5">
        <w:t xml:space="preserve"> </w:t>
      </w:r>
    </w:p>
    <w:p w14:paraId="0A6216DD" w14:textId="77777777" w:rsidR="00013FCD" w:rsidRDefault="00013FCD" w:rsidP="0052795B"/>
    <w:p w14:paraId="40EA5144" w14:textId="783C664E" w:rsidR="00A33029" w:rsidRDefault="00A33029" w:rsidP="0052795B">
      <w:r>
        <w:rPr>
          <w:b/>
        </w:rPr>
        <w:t>Role of monitoring</w:t>
      </w:r>
    </w:p>
    <w:p w14:paraId="402DBEEA" w14:textId="7D6DB565" w:rsidR="00A33029" w:rsidRPr="00A33029" w:rsidRDefault="0053169E" w:rsidP="0052795B">
      <w:r>
        <w:t>In situations of poor market integration or when historical price series are unavailable, local supply responsiveness can indicate whether cash-based transfers are appropriate. However, in these cases, ongoing monitoring is especially crucial, because there is limited information available on which to draw. Commodity prices change, transportation prices change, policies change, and traders enter and exit, all of which indicate that a reappraisal of current approaches may be warranted. The role of monitoring will be discussed further in the next lecture.</w:t>
      </w:r>
    </w:p>
    <w:p w14:paraId="40D47782" w14:textId="77777777" w:rsidR="00013FCD" w:rsidRPr="00D53DC5" w:rsidRDefault="00013FCD" w:rsidP="00013FCD">
      <w:pPr>
        <w:rPr>
          <w:rFonts w:ascii="Cambria" w:hAnsi="Cambria"/>
        </w:rPr>
      </w:pPr>
    </w:p>
    <w:p w14:paraId="0D1DE22F" w14:textId="57E74165" w:rsidR="00383F1F" w:rsidRDefault="00383F1F" w:rsidP="00B10676"/>
    <w:sectPr w:rsidR="00383F1F" w:rsidSect="00895606">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1E488" w14:textId="77777777" w:rsidR="00796FCA" w:rsidRDefault="00796FCA" w:rsidP="008E25AA">
      <w:r>
        <w:separator/>
      </w:r>
    </w:p>
  </w:endnote>
  <w:endnote w:type="continuationSeparator" w:id="0">
    <w:p w14:paraId="5D3127AA" w14:textId="77777777" w:rsidR="00796FCA" w:rsidRDefault="00796FCA" w:rsidP="008E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ヒラギノ明朝 ProN W3">
    <w:charset w:val="4E"/>
    <w:family w:val="auto"/>
    <w:pitch w:val="variable"/>
    <w:sig w:usb0="E00002FF" w:usb1="7AC7FFFF" w:usb2="00000012" w:usb3="00000000" w:csb0="0002000D" w:csb1="00000000"/>
  </w:font>
  <w:font w:name="Verdana">
    <w:panose1 w:val="020B06040305040402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B08FD" w14:textId="77777777" w:rsidR="00796FCA" w:rsidRDefault="00796FCA" w:rsidP="008956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F4926C" w14:textId="77777777" w:rsidR="00796FCA" w:rsidRDefault="00796FCA" w:rsidP="00EF5EB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45795" w14:textId="77777777" w:rsidR="00796FCA" w:rsidRDefault="00796FCA" w:rsidP="008956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6039">
      <w:rPr>
        <w:rStyle w:val="PageNumber"/>
        <w:noProof/>
      </w:rPr>
      <w:t>15</w:t>
    </w:r>
    <w:r>
      <w:rPr>
        <w:rStyle w:val="PageNumber"/>
      </w:rPr>
      <w:fldChar w:fldCharType="end"/>
    </w:r>
  </w:p>
  <w:p w14:paraId="3DA0B1D1" w14:textId="77777777" w:rsidR="00796FCA" w:rsidRDefault="00796FCA" w:rsidP="00EF5EB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578BC" w14:textId="77777777" w:rsidR="00796FCA" w:rsidRDefault="00796FCA" w:rsidP="008E25AA">
      <w:r>
        <w:separator/>
      </w:r>
    </w:p>
  </w:footnote>
  <w:footnote w:type="continuationSeparator" w:id="0">
    <w:p w14:paraId="49D3A2E0" w14:textId="77777777" w:rsidR="00796FCA" w:rsidRDefault="00796FCA" w:rsidP="008E25AA">
      <w:r>
        <w:continuationSeparator/>
      </w:r>
    </w:p>
  </w:footnote>
  <w:footnote w:id="1">
    <w:p w14:paraId="709E19C9" w14:textId="77777777" w:rsidR="00796FCA" w:rsidRPr="00C41FE8" w:rsidRDefault="00796FCA" w:rsidP="001E42F9">
      <w:pPr>
        <w:rPr>
          <w:sz w:val="16"/>
          <w:szCs w:val="16"/>
        </w:rPr>
      </w:pPr>
      <w:r>
        <w:rPr>
          <w:rStyle w:val="FootnoteReference"/>
        </w:rPr>
        <w:footnoteRef/>
      </w:r>
      <w:r>
        <w:t xml:space="preserve"> </w:t>
      </w:r>
      <w:r>
        <w:rPr>
          <w:sz w:val="16"/>
          <w:szCs w:val="16"/>
        </w:rPr>
        <w:t xml:space="preserve">* HH population is sub-location 99 Census scaled by 32%, which is the estimated </w:t>
      </w:r>
      <w:proofErr w:type="spellStart"/>
      <w:r>
        <w:rPr>
          <w:sz w:val="16"/>
          <w:szCs w:val="16"/>
        </w:rPr>
        <w:t>Marsabit</w:t>
      </w:r>
      <w:proofErr w:type="spellEnd"/>
      <w:r>
        <w:rPr>
          <w:sz w:val="16"/>
          <w:szCs w:val="16"/>
        </w:rPr>
        <w:t xml:space="preserve"> population growth rate from 1999 to 2009.</w:t>
      </w:r>
    </w:p>
    <w:p w14:paraId="7C503425" w14:textId="77777777" w:rsidR="00796FCA" w:rsidRDefault="00796FCA" w:rsidP="001E42F9">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1B61"/>
    <w:multiLevelType w:val="hybridMultilevel"/>
    <w:tmpl w:val="04987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3902FD"/>
    <w:multiLevelType w:val="hybridMultilevel"/>
    <w:tmpl w:val="9F24C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E32CEF"/>
    <w:multiLevelType w:val="hybridMultilevel"/>
    <w:tmpl w:val="FC76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CE480C"/>
    <w:multiLevelType w:val="hybridMultilevel"/>
    <w:tmpl w:val="57A25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675F76"/>
    <w:multiLevelType w:val="hybridMultilevel"/>
    <w:tmpl w:val="DDD2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722118"/>
    <w:multiLevelType w:val="hybridMultilevel"/>
    <w:tmpl w:val="A51CB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0700F3"/>
    <w:multiLevelType w:val="hybridMultilevel"/>
    <w:tmpl w:val="3F424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CE1F39"/>
    <w:multiLevelType w:val="hybridMultilevel"/>
    <w:tmpl w:val="22187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7B4BCB"/>
    <w:multiLevelType w:val="hybridMultilevel"/>
    <w:tmpl w:val="F2C65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CB4738"/>
    <w:multiLevelType w:val="hybridMultilevel"/>
    <w:tmpl w:val="2372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5"/>
  </w:num>
  <w:num w:numId="5">
    <w:abstractNumId w:val="6"/>
  </w:num>
  <w:num w:numId="6">
    <w:abstractNumId w:val="2"/>
  </w:num>
  <w:num w:numId="7">
    <w:abstractNumId w:val="9"/>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2F9"/>
    <w:rsid w:val="00002369"/>
    <w:rsid w:val="00013FCD"/>
    <w:rsid w:val="000377F2"/>
    <w:rsid w:val="00052287"/>
    <w:rsid w:val="0005254B"/>
    <w:rsid w:val="00057D2C"/>
    <w:rsid w:val="00063A58"/>
    <w:rsid w:val="000959F4"/>
    <w:rsid w:val="000A46EE"/>
    <w:rsid w:val="000A4AD3"/>
    <w:rsid w:val="000A541C"/>
    <w:rsid w:val="000C085E"/>
    <w:rsid w:val="000C2F30"/>
    <w:rsid w:val="000D6336"/>
    <w:rsid w:val="000F40DA"/>
    <w:rsid w:val="001138A4"/>
    <w:rsid w:val="00117B0F"/>
    <w:rsid w:val="00121336"/>
    <w:rsid w:val="0012637A"/>
    <w:rsid w:val="00127000"/>
    <w:rsid w:val="001308FB"/>
    <w:rsid w:val="0013573A"/>
    <w:rsid w:val="0017230D"/>
    <w:rsid w:val="00195746"/>
    <w:rsid w:val="001A5553"/>
    <w:rsid w:val="001B19E9"/>
    <w:rsid w:val="001B520E"/>
    <w:rsid w:val="001D4421"/>
    <w:rsid w:val="001E3821"/>
    <w:rsid w:val="001E42F9"/>
    <w:rsid w:val="001F7ECC"/>
    <w:rsid w:val="00205C4C"/>
    <w:rsid w:val="00223CA8"/>
    <w:rsid w:val="002706D4"/>
    <w:rsid w:val="002951C8"/>
    <w:rsid w:val="002A3E09"/>
    <w:rsid w:val="002B297A"/>
    <w:rsid w:val="002C418F"/>
    <w:rsid w:val="002D006B"/>
    <w:rsid w:val="002E4AD6"/>
    <w:rsid w:val="002F0747"/>
    <w:rsid w:val="002F2589"/>
    <w:rsid w:val="002F320A"/>
    <w:rsid w:val="00304768"/>
    <w:rsid w:val="00316345"/>
    <w:rsid w:val="0033458C"/>
    <w:rsid w:val="003410CE"/>
    <w:rsid w:val="003512B1"/>
    <w:rsid w:val="00383F1F"/>
    <w:rsid w:val="0039172A"/>
    <w:rsid w:val="003A0606"/>
    <w:rsid w:val="003C1EA0"/>
    <w:rsid w:val="003D2CAE"/>
    <w:rsid w:val="003F2061"/>
    <w:rsid w:val="00400EC9"/>
    <w:rsid w:val="00414DE4"/>
    <w:rsid w:val="00422B94"/>
    <w:rsid w:val="00427C8A"/>
    <w:rsid w:val="004504CF"/>
    <w:rsid w:val="004506EB"/>
    <w:rsid w:val="004720A7"/>
    <w:rsid w:val="004728EB"/>
    <w:rsid w:val="00485CEB"/>
    <w:rsid w:val="00493C65"/>
    <w:rsid w:val="00495D5E"/>
    <w:rsid w:val="004A3448"/>
    <w:rsid w:val="004D2401"/>
    <w:rsid w:val="004E1D77"/>
    <w:rsid w:val="00507300"/>
    <w:rsid w:val="00507C6B"/>
    <w:rsid w:val="00507E40"/>
    <w:rsid w:val="005177B8"/>
    <w:rsid w:val="0052795B"/>
    <w:rsid w:val="0053169E"/>
    <w:rsid w:val="00533A37"/>
    <w:rsid w:val="005354DD"/>
    <w:rsid w:val="0055753B"/>
    <w:rsid w:val="005824F2"/>
    <w:rsid w:val="005854C8"/>
    <w:rsid w:val="005A0A5D"/>
    <w:rsid w:val="005D34D3"/>
    <w:rsid w:val="005E0AAB"/>
    <w:rsid w:val="005E656B"/>
    <w:rsid w:val="005F2B55"/>
    <w:rsid w:val="005F6290"/>
    <w:rsid w:val="00604C98"/>
    <w:rsid w:val="00627404"/>
    <w:rsid w:val="006512D8"/>
    <w:rsid w:val="00655842"/>
    <w:rsid w:val="00661645"/>
    <w:rsid w:val="00664446"/>
    <w:rsid w:val="00670943"/>
    <w:rsid w:val="00670A46"/>
    <w:rsid w:val="00680CB6"/>
    <w:rsid w:val="006B5647"/>
    <w:rsid w:val="006C021E"/>
    <w:rsid w:val="006C3E87"/>
    <w:rsid w:val="006C5420"/>
    <w:rsid w:val="006F19C9"/>
    <w:rsid w:val="006F3ABD"/>
    <w:rsid w:val="006F41B6"/>
    <w:rsid w:val="00730528"/>
    <w:rsid w:val="007307C7"/>
    <w:rsid w:val="00735323"/>
    <w:rsid w:val="007845AA"/>
    <w:rsid w:val="00796FCA"/>
    <w:rsid w:val="007B65E4"/>
    <w:rsid w:val="007C1F62"/>
    <w:rsid w:val="007C2D3E"/>
    <w:rsid w:val="007C5D00"/>
    <w:rsid w:val="007F0A3A"/>
    <w:rsid w:val="007F0F88"/>
    <w:rsid w:val="0081549A"/>
    <w:rsid w:val="00836A79"/>
    <w:rsid w:val="00864534"/>
    <w:rsid w:val="00867351"/>
    <w:rsid w:val="00870FC3"/>
    <w:rsid w:val="00895540"/>
    <w:rsid w:val="00895606"/>
    <w:rsid w:val="008A4490"/>
    <w:rsid w:val="008A6520"/>
    <w:rsid w:val="008C6A52"/>
    <w:rsid w:val="008D5757"/>
    <w:rsid w:val="008E25AA"/>
    <w:rsid w:val="008F3553"/>
    <w:rsid w:val="009229E7"/>
    <w:rsid w:val="00925A01"/>
    <w:rsid w:val="0092711F"/>
    <w:rsid w:val="009357DC"/>
    <w:rsid w:val="0095083F"/>
    <w:rsid w:val="0097130B"/>
    <w:rsid w:val="009968AF"/>
    <w:rsid w:val="009B2BC4"/>
    <w:rsid w:val="009F0A20"/>
    <w:rsid w:val="009F76C0"/>
    <w:rsid w:val="00A04069"/>
    <w:rsid w:val="00A05EC3"/>
    <w:rsid w:val="00A33029"/>
    <w:rsid w:val="00A42020"/>
    <w:rsid w:val="00A427A0"/>
    <w:rsid w:val="00A84534"/>
    <w:rsid w:val="00A92C81"/>
    <w:rsid w:val="00AA0AE3"/>
    <w:rsid w:val="00AB0182"/>
    <w:rsid w:val="00AB30FB"/>
    <w:rsid w:val="00AC3832"/>
    <w:rsid w:val="00B04F34"/>
    <w:rsid w:val="00B10676"/>
    <w:rsid w:val="00B1392D"/>
    <w:rsid w:val="00B15141"/>
    <w:rsid w:val="00B223D5"/>
    <w:rsid w:val="00B230B9"/>
    <w:rsid w:val="00B52108"/>
    <w:rsid w:val="00B770FF"/>
    <w:rsid w:val="00B9375A"/>
    <w:rsid w:val="00BE5D6C"/>
    <w:rsid w:val="00BE7BEE"/>
    <w:rsid w:val="00BF04FC"/>
    <w:rsid w:val="00C267E0"/>
    <w:rsid w:val="00C35A09"/>
    <w:rsid w:val="00C35ABC"/>
    <w:rsid w:val="00C36EF4"/>
    <w:rsid w:val="00C55313"/>
    <w:rsid w:val="00C56A6E"/>
    <w:rsid w:val="00C57D53"/>
    <w:rsid w:val="00CA3CF4"/>
    <w:rsid w:val="00CC2961"/>
    <w:rsid w:val="00CC6EF7"/>
    <w:rsid w:val="00CD0E19"/>
    <w:rsid w:val="00CD270B"/>
    <w:rsid w:val="00D019E7"/>
    <w:rsid w:val="00D240A5"/>
    <w:rsid w:val="00D354BA"/>
    <w:rsid w:val="00D40A12"/>
    <w:rsid w:val="00D71A1E"/>
    <w:rsid w:val="00D757C3"/>
    <w:rsid w:val="00D76039"/>
    <w:rsid w:val="00D849C6"/>
    <w:rsid w:val="00D872CA"/>
    <w:rsid w:val="00D87C38"/>
    <w:rsid w:val="00DC7E3E"/>
    <w:rsid w:val="00DD426D"/>
    <w:rsid w:val="00E05779"/>
    <w:rsid w:val="00E32955"/>
    <w:rsid w:val="00E34B96"/>
    <w:rsid w:val="00E40BEB"/>
    <w:rsid w:val="00E44076"/>
    <w:rsid w:val="00E63DAC"/>
    <w:rsid w:val="00E677F1"/>
    <w:rsid w:val="00E76C67"/>
    <w:rsid w:val="00E820C8"/>
    <w:rsid w:val="00E904FF"/>
    <w:rsid w:val="00EB268D"/>
    <w:rsid w:val="00EE2241"/>
    <w:rsid w:val="00EF2070"/>
    <w:rsid w:val="00EF4207"/>
    <w:rsid w:val="00EF5EB3"/>
    <w:rsid w:val="00EF6A23"/>
    <w:rsid w:val="00F07719"/>
    <w:rsid w:val="00F21B06"/>
    <w:rsid w:val="00F344AF"/>
    <w:rsid w:val="00F47B2E"/>
    <w:rsid w:val="00F81BFA"/>
    <w:rsid w:val="00F833E2"/>
    <w:rsid w:val="00F87B8D"/>
    <w:rsid w:val="00F87D74"/>
    <w:rsid w:val="00F95D71"/>
    <w:rsid w:val="00FA631E"/>
    <w:rsid w:val="00FA7093"/>
    <w:rsid w:val="00FA7669"/>
    <w:rsid w:val="00FB5046"/>
    <w:rsid w:val="00FD1866"/>
    <w:rsid w:val="00FD5EE8"/>
    <w:rsid w:val="00FD7A6D"/>
    <w:rsid w:val="00FF56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DE5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F9"/>
    <w:rPr>
      <w:sz w:val="24"/>
      <w:szCs w:val="24"/>
    </w:rPr>
  </w:style>
  <w:style w:type="paragraph" w:styleId="Heading1">
    <w:name w:val="heading 1"/>
    <w:basedOn w:val="Normal"/>
    <w:next w:val="Normal"/>
    <w:link w:val="Heading1Char"/>
    <w:uiPriority w:val="9"/>
    <w:qFormat/>
    <w:rsid w:val="001E42F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1E42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1E42F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2F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1E42F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E42F9"/>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1"/>
    <w:uiPriority w:val="99"/>
    <w:semiHidden/>
    <w:unhideWhenUsed/>
    <w:rsid w:val="001E42F9"/>
    <w:rPr>
      <w:rFonts w:ascii="Lucida Grande" w:hAnsi="Lucida Grande"/>
      <w:sz w:val="18"/>
      <w:szCs w:val="18"/>
    </w:rPr>
  </w:style>
  <w:style w:type="character" w:customStyle="1" w:styleId="BalloonTextChar">
    <w:name w:val="Balloon Text Char"/>
    <w:basedOn w:val="DefaultParagraphFont"/>
    <w:uiPriority w:val="99"/>
    <w:semiHidden/>
    <w:rsid w:val="001E42F9"/>
    <w:rPr>
      <w:rFonts w:ascii="Lucida Grande" w:hAnsi="Lucida Grande"/>
      <w:sz w:val="18"/>
      <w:szCs w:val="18"/>
    </w:rPr>
  </w:style>
  <w:style w:type="table" w:styleId="TableGrid">
    <w:name w:val="Table Grid"/>
    <w:basedOn w:val="TableNormal"/>
    <w:uiPriority w:val="59"/>
    <w:rsid w:val="001E42F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E42F9"/>
    <w:pPr>
      <w:ind w:left="720"/>
      <w:contextualSpacing/>
    </w:pPr>
  </w:style>
  <w:style w:type="character" w:styleId="Hyperlink">
    <w:name w:val="Hyperlink"/>
    <w:basedOn w:val="DefaultParagraphFont"/>
    <w:rsid w:val="001E42F9"/>
    <w:rPr>
      <w:color w:val="0000FF"/>
      <w:u w:val="single"/>
    </w:rPr>
  </w:style>
  <w:style w:type="character" w:styleId="HTMLCite">
    <w:name w:val="HTML Cite"/>
    <w:basedOn w:val="DefaultParagraphFont"/>
    <w:uiPriority w:val="99"/>
    <w:rsid w:val="001E42F9"/>
    <w:rPr>
      <w:i/>
    </w:rPr>
  </w:style>
  <w:style w:type="character" w:customStyle="1" w:styleId="BalloonTextChar1">
    <w:name w:val="Balloon Text Char1"/>
    <w:basedOn w:val="DefaultParagraphFont"/>
    <w:link w:val="BalloonText"/>
    <w:uiPriority w:val="99"/>
    <w:semiHidden/>
    <w:rsid w:val="001E42F9"/>
    <w:rPr>
      <w:rFonts w:ascii="Lucida Grande" w:hAnsi="Lucida Grande"/>
      <w:sz w:val="18"/>
      <w:szCs w:val="18"/>
    </w:rPr>
  </w:style>
  <w:style w:type="paragraph" w:styleId="Footer">
    <w:name w:val="footer"/>
    <w:basedOn w:val="Normal"/>
    <w:link w:val="FooterChar"/>
    <w:uiPriority w:val="99"/>
    <w:unhideWhenUsed/>
    <w:rsid w:val="001E42F9"/>
    <w:pPr>
      <w:tabs>
        <w:tab w:val="center" w:pos="4320"/>
        <w:tab w:val="right" w:pos="8640"/>
      </w:tabs>
    </w:pPr>
  </w:style>
  <w:style w:type="character" w:customStyle="1" w:styleId="FooterChar">
    <w:name w:val="Footer Char"/>
    <w:basedOn w:val="DefaultParagraphFont"/>
    <w:link w:val="Footer"/>
    <w:uiPriority w:val="99"/>
    <w:rsid w:val="001E42F9"/>
    <w:rPr>
      <w:sz w:val="24"/>
      <w:szCs w:val="24"/>
    </w:rPr>
  </w:style>
  <w:style w:type="character" w:styleId="PageNumber">
    <w:name w:val="page number"/>
    <w:basedOn w:val="DefaultParagraphFont"/>
    <w:uiPriority w:val="99"/>
    <w:semiHidden/>
    <w:unhideWhenUsed/>
    <w:rsid w:val="001E42F9"/>
  </w:style>
  <w:style w:type="paragraph" w:styleId="Header">
    <w:name w:val="header"/>
    <w:basedOn w:val="Normal"/>
    <w:link w:val="HeaderChar"/>
    <w:uiPriority w:val="99"/>
    <w:unhideWhenUsed/>
    <w:rsid w:val="001E42F9"/>
    <w:pPr>
      <w:tabs>
        <w:tab w:val="center" w:pos="4320"/>
        <w:tab w:val="right" w:pos="8640"/>
      </w:tabs>
    </w:pPr>
  </w:style>
  <w:style w:type="character" w:customStyle="1" w:styleId="HeaderChar">
    <w:name w:val="Header Char"/>
    <w:basedOn w:val="DefaultParagraphFont"/>
    <w:link w:val="Header"/>
    <w:uiPriority w:val="99"/>
    <w:rsid w:val="001E42F9"/>
    <w:rPr>
      <w:sz w:val="24"/>
      <w:szCs w:val="24"/>
    </w:rPr>
  </w:style>
  <w:style w:type="paragraph" w:styleId="TOCHeading">
    <w:name w:val="TOC Heading"/>
    <w:basedOn w:val="Heading1"/>
    <w:next w:val="Normal"/>
    <w:uiPriority w:val="39"/>
    <w:unhideWhenUsed/>
    <w:qFormat/>
    <w:rsid w:val="001E42F9"/>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1E42F9"/>
    <w:pPr>
      <w:spacing w:before="120"/>
    </w:pPr>
    <w:rPr>
      <w:rFonts w:asciiTheme="majorHAnsi" w:hAnsiTheme="majorHAnsi"/>
      <w:b/>
      <w:color w:val="548DD4"/>
    </w:rPr>
  </w:style>
  <w:style w:type="paragraph" w:styleId="TOC2">
    <w:name w:val="toc 2"/>
    <w:basedOn w:val="Normal"/>
    <w:next w:val="Normal"/>
    <w:autoRedefine/>
    <w:uiPriority w:val="39"/>
    <w:unhideWhenUsed/>
    <w:rsid w:val="001E42F9"/>
    <w:rPr>
      <w:b/>
      <w:szCs w:val="22"/>
    </w:rPr>
  </w:style>
  <w:style w:type="paragraph" w:styleId="TOC3">
    <w:name w:val="toc 3"/>
    <w:basedOn w:val="Normal"/>
    <w:next w:val="Normal"/>
    <w:autoRedefine/>
    <w:uiPriority w:val="39"/>
    <w:semiHidden/>
    <w:unhideWhenUsed/>
    <w:rsid w:val="001E42F9"/>
    <w:pPr>
      <w:ind w:left="240"/>
    </w:pPr>
    <w:rPr>
      <w:i/>
      <w:sz w:val="22"/>
      <w:szCs w:val="22"/>
    </w:rPr>
  </w:style>
  <w:style w:type="paragraph" w:styleId="TOC4">
    <w:name w:val="toc 4"/>
    <w:basedOn w:val="Normal"/>
    <w:next w:val="Normal"/>
    <w:autoRedefine/>
    <w:uiPriority w:val="39"/>
    <w:semiHidden/>
    <w:unhideWhenUsed/>
    <w:rsid w:val="001E42F9"/>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1E42F9"/>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1E42F9"/>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1E42F9"/>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1E42F9"/>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1E42F9"/>
    <w:pPr>
      <w:pBdr>
        <w:between w:val="double" w:sz="6" w:space="0" w:color="auto"/>
      </w:pBdr>
      <w:ind w:left="1680"/>
    </w:pPr>
    <w:rPr>
      <w:sz w:val="20"/>
      <w:szCs w:val="20"/>
    </w:rPr>
  </w:style>
  <w:style w:type="paragraph" w:styleId="FootnoteText">
    <w:name w:val="footnote text"/>
    <w:basedOn w:val="Normal"/>
    <w:link w:val="FootnoteTextChar"/>
    <w:unhideWhenUsed/>
    <w:rsid w:val="001E42F9"/>
    <w:rPr>
      <w:rFonts w:ascii="Cambria" w:eastAsia="Cambria" w:hAnsi="Cambria" w:cs="Times New Roman"/>
    </w:rPr>
  </w:style>
  <w:style w:type="character" w:customStyle="1" w:styleId="FootnoteTextChar">
    <w:name w:val="Footnote Text Char"/>
    <w:basedOn w:val="DefaultParagraphFont"/>
    <w:link w:val="FootnoteText"/>
    <w:rsid w:val="001E42F9"/>
    <w:rPr>
      <w:rFonts w:ascii="Cambria" w:eastAsia="Cambria" w:hAnsi="Cambria" w:cs="Times New Roman"/>
      <w:sz w:val="24"/>
      <w:szCs w:val="24"/>
    </w:rPr>
  </w:style>
  <w:style w:type="character" w:styleId="FootnoteReference">
    <w:name w:val="footnote reference"/>
    <w:basedOn w:val="DefaultParagraphFont"/>
    <w:unhideWhenUsed/>
    <w:rsid w:val="001E42F9"/>
    <w:rPr>
      <w:vertAlign w:val="superscript"/>
    </w:rPr>
  </w:style>
  <w:style w:type="paragraph" w:styleId="NormalWeb">
    <w:name w:val="Normal (Web)"/>
    <w:basedOn w:val="Normal"/>
    <w:uiPriority w:val="99"/>
    <w:rsid w:val="001E42F9"/>
    <w:pPr>
      <w:spacing w:beforeLines="1" w:afterLines="1"/>
    </w:pPr>
    <w:rPr>
      <w:rFonts w:ascii="Times" w:hAnsi="Times" w:cs="Times New Roman"/>
      <w:sz w:val="20"/>
      <w:szCs w:val="20"/>
    </w:rPr>
  </w:style>
  <w:style w:type="character" w:customStyle="1" w:styleId="CharChar1">
    <w:name w:val="Char Char1"/>
    <w:basedOn w:val="DefaultParagraphFont"/>
    <w:semiHidden/>
    <w:rsid w:val="001E42F9"/>
    <w:rPr>
      <w:lang w:val="en-US" w:eastAsia="en-US" w:bidi="ar-SA"/>
    </w:rPr>
  </w:style>
  <w:style w:type="paragraph" w:customStyle="1" w:styleId="heading">
    <w:name w:val="heading"/>
    <w:basedOn w:val="TOC1"/>
    <w:rsid w:val="001E42F9"/>
    <w:rPr>
      <w:rFonts w:ascii="Cambria" w:hAnsi="Cambria"/>
      <w:noProof/>
      <w:u w:val="single"/>
    </w:rPr>
  </w:style>
  <w:style w:type="character" w:styleId="FollowedHyperlink">
    <w:name w:val="FollowedHyperlink"/>
    <w:basedOn w:val="DefaultParagraphFont"/>
    <w:rsid w:val="001E42F9"/>
    <w:rPr>
      <w:color w:val="800080" w:themeColor="followedHyperlink"/>
      <w:u w:val="single"/>
    </w:rPr>
  </w:style>
  <w:style w:type="paragraph" w:styleId="Caption">
    <w:name w:val="caption"/>
    <w:basedOn w:val="Normal"/>
    <w:next w:val="Normal"/>
    <w:qFormat/>
    <w:rsid w:val="001E42F9"/>
    <w:rPr>
      <w:rFonts w:ascii="Times New Roman" w:eastAsia="Times New Roman" w:hAnsi="Times New Roman" w:cs="Times New Roman"/>
      <w:b/>
      <w:bCs/>
      <w:sz w:val="20"/>
      <w:szCs w:val="20"/>
    </w:rPr>
  </w:style>
  <w:style w:type="paragraph" w:customStyle="1" w:styleId="NormalJustified">
    <w:name w:val="Normal + Justified"/>
    <w:basedOn w:val="Normal"/>
    <w:rsid w:val="001E42F9"/>
    <w:rPr>
      <w:rFonts w:ascii="Times New Roman" w:eastAsia="Times New Roman" w:hAnsi="Times New Roman" w:cs="Times New Roman"/>
      <w:i/>
      <w:iCs/>
    </w:rPr>
  </w:style>
  <w:style w:type="character" w:styleId="CommentReference">
    <w:name w:val="annotation reference"/>
    <w:basedOn w:val="DefaultParagraphFont"/>
    <w:uiPriority w:val="99"/>
    <w:semiHidden/>
    <w:unhideWhenUsed/>
    <w:rsid w:val="000959F4"/>
    <w:rPr>
      <w:sz w:val="16"/>
      <w:szCs w:val="16"/>
    </w:rPr>
  </w:style>
  <w:style w:type="paragraph" w:styleId="CommentText">
    <w:name w:val="annotation text"/>
    <w:basedOn w:val="Normal"/>
    <w:link w:val="CommentTextChar"/>
    <w:uiPriority w:val="99"/>
    <w:semiHidden/>
    <w:unhideWhenUsed/>
    <w:rsid w:val="000959F4"/>
    <w:rPr>
      <w:sz w:val="20"/>
      <w:szCs w:val="20"/>
    </w:rPr>
  </w:style>
  <w:style w:type="character" w:customStyle="1" w:styleId="CommentTextChar">
    <w:name w:val="Comment Text Char"/>
    <w:basedOn w:val="DefaultParagraphFont"/>
    <w:link w:val="CommentText"/>
    <w:uiPriority w:val="99"/>
    <w:semiHidden/>
    <w:rsid w:val="000959F4"/>
  </w:style>
  <w:style w:type="paragraph" w:styleId="CommentSubject">
    <w:name w:val="annotation subject"/>
    <w:basedOn w:val="CommentText"/>
    <w:next w:val="CommentText"/>
    <w:link w:val="CommentSubjectChar"/>
    <w:uiPriority w:val="99"/>
    <w:semiHidden/>
    <w:unhideWhenUsed/>
    <w:rsid w:val="000959F4"/>
    <w:rPr>
      <w:b/>
      <w:bCs/>
    </w:rPr>
  </w:style>
  <w:style w:type="character" w:customStyle="1" w:styleId="CommentSubjectChar">
    <w:name w:val="Comment Subject Char"/>
    <w:basedOn w:val="CommentTextChar"/>
    <w:link w:val="CommentSubject"/>
    <w:uiPriority w:val="99"/>
    <w:semiHidden/>
    <w:rsid w:val="000959F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F9"/>
    <w:rPr>
      <w:sz w:val="24"/>
      <w:szCs w:val="24"/>
    </w:rPr>
  </w:style>
  <w:style w:type="paragraph" w:styleId="Heading1">
    <w:name w:val="heading 1"/>
    <w:basedOn w:val="Normal"/>
    <w:next w:val="Normal"/>
    <w:link w:val="Heading1Char"/>
    <w:uiPriority w:val="9"/>
    <w:qFormat/>
    <w:rsid w:val="001E42F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1E42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1E42F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2F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1E42F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E42F9"/>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1"/>
    <w:uiPriority w:val="99"/>
    <w:semiHidden/>
    <w:unhideWhenUsed/>
    <w:rsid w:val="001E42F9"/>
    <w:rPr>
      <w:rFonts w:ascii="Lucida Grande" w:hAnsi="Lucida Grande"/>
      <w:sz w:val="18"/>
      <w:szCs w:val="18"/>
    </w:rPr>
  </w:style>
  <w:style w:type="character" w:customStyle="1" w:styleId="BalloonTextChar">
    <w:name w:val="Balloon Text Char"/>
    <w:basedOn w:val="DefaultParagraphFont"/>
    <w:uiPriority w:val="99"/>
    <w:semiHidden/>
    <w:rsid w:val="001E42F9"/>
    <w:rPr>
      <w:rFonts w:ascii="Lucida Grande" w:hAnsi="Lucida Grande"/>
      <w:sz w:val="18"/>
      <w:szCs w:val="18"/>
    </w:rPr>
  </w:style>
  <w:style w:type="table" w:styleId="TableGrid">
    <w:name w:val="Table Grid"/>
    <w:basedOn w:val="TableNormal"/>
    <w:uiPriority w:val="59"/>
    <w:rsid w:val="001E42F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E42F9"/>
    <w:pPr>
      <w:ind w:left="720"/>
      <w:contextualSpacing/>
    </w:pPr>
  </w:style>
  <w:style w:type="character" w:styleId="Hyperlink">
    <w:name w:val="Hyperlink"/>
    <w:basedOn w:val="DefaultParagraphFont"/>
    <w:rsid w:val="001E42F9"/>
    <w:rPr>
      <w:color w:val="0000FF"/>
      <w:u w:val="single"/>
    </w:rPr>
  </w:style>
  <w:style w:type="character" w:styleId="HTMLCite">
    <w:name w:val="HTML Cite"/>
    <w:basedOn w:val="DefaultParagraphFont"/>
    <w:uiPriority w:val="99"/>
    <w:rsid w:val="001E42F9"/>
    <w:rPr>
      <w:i/>
    </w:rPr>
  </w:style>
  <w:style w:type="character" w:customStyle="1" w:styleId="BalloonTextChar1">
    <w:name w:val="Balloon Text Char1"/>
    <w:basedOn w:val="DefaultParagraphFont"/>
    <w:link w:val="BalloonText"/>
    <w:uiPriority w:val="99"/>
    <w:semiHidden/>
    <w:rsid w:val="001E42F9"/>
    <w:rPr>
      <w:rFonts w:ascii="Lucida Grande" w:hAnsi="Lucida Grande"/>
      <w:sz w:val="18"/>
      <w:szCs w:val="18"/>
    </w:rPr>
  </w:style>
  <w:style w:type="paragraph" w:styleId="Footer">
    <w:name w:val="footer"/>
    <w:basedOn w:val="Normal"/>
    <w:link w:val="FooterChar"/>
    <w:uiPriority w:val="99"/>
    <w:unhideWhenUsed/>
    <w:rsid w:val="001E42F9"/>
    <w:pPr>
      <w:tabs>
        <w:tab w:val="center" w:pos="4320"/>
        <w:tab w:val="right" w:pos="8640"/>
      </w:tabs>
    </w:pPr>
  </w:style>
  <w:style w:type="character" w:customStyle="1" w:styleId="FooterChar">
    <w:name w:val="Footer Char"/>
    <w:basedOn w:val="DefaultParagraphFont"/>
    <w:link w:val="Footer"/>
    <w:uiPriority w:val="99"/>
    <w:rsid w:val="001E42F9"/>
    <w:rPr>
      <w:sz w:val="24"/>
      <w:szCs w:val="24"/>
    </w:rPr>
  </w:style>
  <w:style w:type="character" w:styleId="PageNumber">
    <w:name w:val="page number"/>
    <w:basedOn w:val="DefaultParagraphFont"/>
    <w:uiPriority w:val="99"/>
    <w:semiHidden/>
    <w:unhideWhenUsed/>
    <w:rsid w:val="001E42F9"/>
  </w:style>
  <w:style w:type="paragraph" w:styleId="Header">
    <w:name w:val="header"/>
    <w:basedOn w:val="Normal"/>
    <w:link w:val="HeaderChar"/>
    <w:uiPriority w:val="99"/>
    <w:unhideWhenUsed/>
    <w:rsid w:val="001E42F9"/>
    <w:pPr>
      <w:tabs>
        <w:tab w:val="center" w:pos="4320"/>
        <w:tab w:val="right" w:pos="8640"/>
      </w:tabs>
    </w:pPr>
  </w:style>
  <w:style w:type="character" w:customStyle="1" w:styleId="HeaderChar">
    <w:name w:val="Header Char"/>
    <w:basedOn w:val="DefaultParagraphFont"/>
    <w:link w:val="Header"/>
    <w:uiPriority w:val="99"/>
    <w:rsid w:val="001E42F9"/>
    <w:rPr>
      <w:sz w:val="24"/>
      <w:szCs w:val="24"/>
    </w:rPr>
  </w:style>
  <w:style w:type="paragraph" w:styleId="TOCHeading">
    <w:name w:val="TOC Heading"/>
    <w:basedOn w:val="Heading1"/>
    <w:next w:val="Normal"/>
    <w:uiPriority w:val="39"/>
    <w:unhideWhenUsed/>
    <w:qFormat/>
    <w:rsid w:val="001E42F9"/>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1E42F9"/>
    <w:pPr>
      <w:spacing w:before="120"/>
    </w:pPr>
    <w:rPr>
      <w:rFonts w:asciiTheme="majorHAnsi" w:hAnsiTheme="majorHAnsi"/>
      <w:b/>
      <w:color w:val="548DD4"/>
    </w:rPr>
  </w:style>
  <w:style w:type="paragraph" w:styleId="TOC2">
    <w:name w:val="toc 2"/>
    <w:basedOn w:val="Normal"/>
    <w:next w:val="Normal"/>
    <w:autoRedefine/>
    <w:uiPriority w:val="39"/>
    <w:unhideWhenUsed/>
    <w:rsid w:val="001E42F9"/>
    <w:rPr>
      <w:b/>
      <w:szCs w:val="22"/>
    </w:rPr>
  </w:style>
  <w:style w:type="paragraph" w:styleId="TOC3">
    <w:name w:val="toc 3"/>
    <w:basedOn w:val="Normal"/>
    <w:next w:val="Normal"/>
    <w:autoRedefine/>
    <w:uiPriority w:val="39"/>
    <w:semiHidden/>
    <w:unhideWhenUsed/>
    <w:rsid w:val="001E42F9"/>
    <w:pPr>
      <w:ind w:left="240"/>
    </w:pPr>
    <w:rPr>
      <w:i/>
      <w:sz w:val="22"/>
      <w:szCs w:val="22"/>
    </w:rPr>
  </w:style>
  <w:style w:type="paragraph" w:styleId="TOC4">
    <w:name w:val="toc 4"/>
    <w:basedOn w:val="Normal"/>
    <w:next w:val="Normal"/>
    <w:autoRedefine/>
    <w:uiPriority w:val="39"/>
    <w:semiHidden/>
    <w:unhideWhenUsed/>
    <w:rsid w:val="001E42F9"/>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1E42F9"/>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1E42F9"/>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1E42F9"/>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1E42F9"/>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1E42F9"/>
    <w:pPr>
      <w:pBdr>
        <w:between w:val="double" w:sz="6" w:space="0" w:color="auto"/>
      </w:pBdr>
      <w:ind w:left="1680"/>
    </w:pPr>
    <w:rPr>
      <w:sz w:val="20"/>
      <w:szCs w:val="20"/>
    </w:rPr>
  </w:style>
  <w:style w:type="paragraph" w:styleId="FootnoteText">
    <w:name w:val="footnote text"/>
    <w:basedOn w:val="Normal"/>
    <w:link w:val="FootnoteTextChar"/>
    <w:unhideWhenUsed/>
    <w:rsid w:val="001E42F9"/>
    <w:rPr>
      <w:rFonts w:ascii="Cambria" w:eastAsia="Cambria" w:hAnsi="Cambria" w:cs="Times New Roman"/>
    </w:rPr>
  </w:style>
  <w:style w:type="character" w:customStyle="1" w:styleId="FootnoteTextChar">
    <w:name w:val="Footnote Text Char"/>
    <w:basedOn w:val="DefaultParagraphFont"/>
    <w:link w:val="FootnoteText"/>
    <w:rsid w:val="001E42F9"/>
    <w:rPr>
      <w:rFonts w:ascii="Cambria" w:eastAsia="Cambria" w:hAnsi="Cambria" w:cs="Times New Roman"/>
      <w:sz w:val="24"/>
      <w:szCs w:val="24"/>
    </w:rPr>
  </w:style>
  <w:style w:type="character" w:styleId="FootnoteReference">
    <w:name w:val="footnote reference"/>
    <w:basedOn w:val="DefaultParagraphFont"/>
    <w:unhideWhenUsed/>
    <w:rsid w:val="001E42F9"/>
    <w:rPr>
      <w:vertAlign w:val="superscript"/>
    </w:rPr>
  </w:style>
  <w:style w:type="paragraph" w:styleId="NormalWeb">
    <w:name w:val="Normal (Web)"/>
    <w:basedOn w:val="Normal"/>
    <w:uiPriority w:val="99"/>
    <w:rsid w:val="001E42F9"/>
    <w:pPr>
      <w:spacing w:beforeLines="1" w:afterLines="1"/>
    </w:pPr>
    <w:rPr>
      <w:rFonts w:ascii="Times" w:hAnsi="Times" w:cs="Times New Roman"/>
      <w:sz w:val="20"/>
      <w:szCs w:val="20"/>
    </w:rPr>
  </w:style>
  <w:style w:type="character" w:customStyle="1" w:styleId="CharChar1">
    <w:name w:val="Char Char1"/>
    <w:basedOn w:val="DefaultParagraphFont"/>
    <w:semiHidden/>
    <w:rsid w:val="001E42F9"/>
    <w:rPr>
      <w:lang w:val="en-US" w:eastAsia="en-US" w:bidi="ar-SA"/>
    </w:rPr>
  </w:style>
  <w:style w:type="paragraph" w:customStyle="1" w:styleId="heading">
    <w:name w:val="heading"/>
    <w:basedOn w:val="TOC1"/>
    <w:rsid w:val="001E42F9"/>
    <w:rPr>
      <w:rFonts w:ascii="Cambria" w:hAnsi="Cambria"/>
      <w:noProof/>
      <w:u w:val="single"/>
    </w:rPr>
  </w:style>
  <w:style w:type="character" w:styleId="FollowedHyperlink">
    <w:name w:val="FollowedHyperlink"/>
    <w:basedOn w:val="DefaultParagraphFont"/>
    <w:rsid w:val="001E42F9"/>
    <w:rPr>
      <w:color w:val="800080" w:themeColor="followedHyperlink"/>
      <w:u w:val="single"/>
    </w:rPr>
  </w:style>
  <w:style w:type="paragraph" w:styleId="Caption">
    <w:name w:val="caption"/>
    <w:basedOn w:val="Normal"/>
    <w:next w:val="Normal"/>
    <w:qFormat/>
    <w:rsid w:val="001E42F9"/>
    <w:rPr>
      <w:rFonts w:ascii="Times New Roman" w:eastAsia="Times New Roman" w:hAnsi="Times New Roman" w:cs="Times New Roman"/>
      <w:b/>
      <w:bCs/>
      <w:sz w:val="20"/>
      <w:szCs w:val="20"/>
    </w:rPr>
  </w:style>
  <w:style w:type="paragraph" w:customStyle="1" w:styleId="NormalJustified">
    <w:name w:val="Normal + Justified"/>
    <w:basedOn w:val="Normal"/>
    <w:rsid w:val="001E42F9"/>
    <w:rPr>
      <w:rFonts w:ascii="Times New Roman" w:eastAsia="Times New Roman" w:hAnsi="Times New Roman" w:cs="Times New Roman"/>
      <w:i/>
      <w:iCs/>
    </w:rPr>
  </w:style>
  <w:style w:type="character" w:styleId="CommentReference">
    <w:name w:val="annotation reference"/>
    <w:basedOn w:val="DefaultParagraphFont"/>
    <w:uiPriority w:val="99"/>
    <w:semiHidden/>
    <w:unhideWhenUsed/>
    <w:rsid w:val="000959F4"/>
    <w:rPr>
      <w:sz w:val="16"/>
      <w:szCs w:val="16"/>
    </w:rPr>
  </w:style>
  <w:style w:type="paragraph" w:styleId="CommentText">
    <w:name w:val="annotation text"/>
    <w:basedOn w:val="Normal"/>
    <w:link w:val="CommentTextChar"/>
    <w:uiPriority w:val="99"/>
    <w:semiHidden/>
    <w:unhideWhenUsed/>
    <w:rsid w:val="000959F4"/>
    <w:rPr>
      <w:sz w:val="20"/>
      <w:szCs w:val="20"/>
    </w:rPr>
  </w:style>
  <w:style w:type="character" w:customStyle="1" w:styleId="CommentTextChar">
    <w:name w:val="Comment Text Char"/>
    <w:basedOn w:val="DefaultParagraphFont"/>
    <w:link w:val="CommentText"/>
    <w:uiPriority w:val="99"/>
    <w:semiHidden/>
    <w:rsid w:val="000959F4"/>
  </w:style>
  <w:style w:type="paragraph" w:styleId="CommentSubject">
    <w:name w:val="annotation subject"/>
    <w:basedOn w:val="CommentText"/>
    <w:next w:val="CommentText"/>
    <w:link w:val="CommentSubjectChar"/>
    <w:uiPriority w:val="99"/>
    <w:semiHidden/>
    <w:unhideWhenUsed/>
    <w:rsid w:val="000959F4"/>
    <w:rPr>
      <w:b/>
      <w:bCs/>
    </w:rPr>
  </w:style>
  <w:style w:type="character" w:customStyle="1" w:styleId="CommentSubjectChar">
    <w:name w:val="Comment Subject Char"/>
    <w:basedOn w:val="CommentTextChar"/>
    <w:link w:val="CommentSubject"/>
    <w:uiPriority w:val="99"/>
    <w:semiHidden/>
    <w:rsid w:val="000959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53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image" Target="media/image1.jpeg"/><Relationship Id="rId10"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embeddings/oleObject1.bin"/><Relationship Id="rId3"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4" b="1" i="0" u="none" strike="noStrike" baseline="0">
                <a:solidFill>
                  <a:srgbClr val="000000"/>
                </a:solidFill>
                <a:latin typeface="Verdana"/>
                <a:ea typeface="Verdana"/>
                <a:cs typeface="Verdana"/>
              </a:defRPr>
            </a:pPr>
            <a:r>
              <a:rPr lang="en-US"/>
              <a:t>Price Effects of Different Supply Patterns</a:t>
            </a:r>
          </a:p>
        </c:rich>
      </c:tx>
      <c:layout>
        <c:manualLayout>
          <c:xMode val="edge"/>
          <c:yMode val="edge"/>
          <c:x val="0.280940039002538"/>
          <c:y val="0.0195759740558746"/>
        </c:manualLayout>
      </c:layout>
      <c:overlay val="0"/>
      <c:spPr>
        <a:noFill/>
        <a:ln w="23935">
          <a:noFill/>
        </a:ln>
      </c:spPr>
    </c:title>
    <c:autoTitleDeleted val="0"/>
    <c:plotArea>
      <c:layout>
        <c:manualLayout>
          <c:layoutTarget val="inner"/>
          <c:xMode val="edge"/>
          <c:yMode val="edge"/>
          <c:x val="0.0539956803455724"/>
          <c:y val="0.137404580152672"/>
          <c:w val="0.896328293736502"/>
          <c:h val="0.740458015267177"/>
        </c:manualLayout>
      </c:layout>
      <c:lineChart>
        <c:grouping val="standard"/>
        <c:varyColors val="0"/>
        <c:ser>
          <c:idx val="1"/>
          <c:order val="0"/>
          <c:tx>
            <c:strRef>
              <c:f>Sheet1!$B$2</c:f>
              <c:strCache>
                <c:ptCount val="1"/>
                <c:pt idx="0">
                  <c:v>Elastic Supply</c:v>
                </c:pt>
              </c:strCache>
            </c:strRef>
          </c:tx>
          <c:spPr>
            <a:ln w="23935">
              <a:solidFill>
                <a:srgbClr val="339966"/>
              </a:solidFill>
              <a:prstDash val="lgDash"/>
            </a:ln>
          </c:spPr>
          <c:marker>
            <c:symbol val="none"/>
          </c:marker>
          <c:cat>
            <c:numRef>
              <c:f>Sheet1!$A$3:$A$12</c:f>
              <c:numCache>
                <c:formatCode>General</c:formatCode>
                <c:ptCount val="10"/>
                <c:pt idx="0">
                  <c:v>1.0</c:v>
                </c:pt>
                <c:pt idx="1">
                  <c:v>2.0</c:v>
                </c:pt>
                <c:pt idx="2">
                  <c:v>3.0</c:v>
                </c:pt>
                <c:pt idx="3">
                  <c:v>4.0</c:v>
                </c:pt>
                <c:pt idx="4">
                  <c:v>5.0</c:v>
                </c:pt>
                <c:pt idx="5">
                  <c:v>6.0</c:v>
                </c:pt>
                <c:pt idx="6">
                  <c:v>7.0</c:v>
                </c:pt>
                <c:pt idx="7">
                  <c:v>8.0</c:v>
                </c:pt>
                <c:pt idx="8">
                  <c:v>9.0</c:v>
                </c:pt>
                <c:pt idx="9">
                  <c:v>10.0</c:v>
                </c:pt>
              </c:numCache>
            </c:numRef>
          </c:cat>
          <c:val>
            <c:numRef>
              <c:f>Sheet1!$B$3:$B$12</c:f>
              <c:numCache>
                <c:formatCode>General</c:formatCode>
                <c:ptCount val="10"/>
                <c:pt idx="0">
                  <c:v>5.0</c:v>
                </c:pt>
                <c:pt idx="1">
                  <c:v>5.0</c:v>
                </c:pt>
                <c:pt idx="2">
                  <c:v>5.0</c:v>
                </c:pt>
                <c:pt idx="3">
                  <c:v>5.0</c:v>
                </c:pt>
                <c:pt idx="4">
                  <c:v>5.0</c:v>
                </c:pt>
                <c:pt idx="5">
                  <c:v>5.0</c:v>
                </c:pt>
                <c:pt idx="6">
                  <c:v>5.0</c:v>
                </c:pt>
                <c:pt idx="7">
                  <c:v>5.0</c:v>
                </c:pt>
                <c:pt idx="8">
                  <c:v>5.0</c:v>
                </c:pt>
                <c:pt idx="9">
                  <c:v>5.0</c:v>
                </c:pt>
              </c:numCache>
            </c:numRef>
          </c:val>
          <c:smooth val="0"/>
        </c:ser>
        <c:ser>
          <c:idx val="0"/>
          <c:order val="1"/>
          <c:tx>
            <c:strRef>
              <c:f>Sheet1!$C$2</c:f>
              <c:strCache>
                <c:ptCount val="1"/>
                <c:pt idx="0">
                  <c:v>Stepwise Supply </c:v>
                </c:pt>
              </c:strCache>
            </c:strRef>
          </c:tx>
          <c:spPr>
            <a:ln w="2992">
              <a:solidFill>
                <a:srgbClr val="000090"/>
              </a:solidFill>
              <a:prstDash val="solid"/>
            </a:ln>
          </c:spPr>
          <c:marker>
            <c:symbol val="none"/>
          </c:marker>
          <c:val>
            <c:numRef>
              <c:f>Sheet1!$C$3:$C$12</c:f>
              <c:numCache>
                <c:formatCode>General</c:formatCode>
                <c:ptCount val="10"/>
                <c:pt idx="0">
                  <c:v>5.0</c:v>
                </c:pt>
                <c:pt idx="1">
                  <c:v>5.0</c:v>
                </c:pt>
                <c:pt idx="2">
                  <c:v>5.0</c:v>
                </c:pt>
                <c:pt idx="3">
                  <c:v>6.0</c:v>
                </c:pt>
                <c:pt idx="4">
                  <c:v>6.0</c:v>
                </c:pt>
                <c:pt idx="5">
                  <c:v>7.5</c:v>
                </c:pt>
                <c:pt idx="6">
                  <c:v>7.5</c:v>
                </c:pt>
                <c:pt idx="7">
                  <c:v>9.0</c:v>
                </c:pt>
                <c:pt idx="8">
                  <c:v>9.0</c:v>
                </c:pt>
                <c:pt idx="9">
                  <c:v>9.0</c:v>
                </c:pt>
              </c:numCache>
            </c:numRef>
          </c:val>
          <c:smooth val="0"/>
        </c:ser>
        <c:ser>
          <c:idx val="2"/>
          <c:order val="2"/>
          <c:tx>
            <c:v>Limited Supply</c:v>
          </c:tx>
          <c:spPr>
            <a:ln w="23935">
              <a:solidFill>
                <a:srgbClr val="DD0806"/>
              </a:solidFill>
              <a:prstDash val="solid"/>
            </a:ln>
          </c:spPr>
          <c:marker>
            <c:symbol val="none"/>
          </c:marker>
          <c:val>
            <c:numRef>
              <c:f>Sheet1!$D$3:$D$12</c:f>
              <c:numCache>
                <c:formatCode>General</c:formatCode>
                <c:ptCount val="10"/>
                <c:pt idx="0">
                  <c:v>5.0</c:v>
                </c:pt>
                <c:pt idx="1">
                  <c:v>100.0</c:v>
                </c:pt>
                <c:pt idx="2">
                  <c:v>100.0</c:v>
                </c:pt>
                <c:pt idx="3">
                  <c:v>100.0</c:v>
                </c:pt>
                <c:pt idx="4">
                  <c:v>100.0</c:v>
                </c:pt>
                <c:pt idx="5">
                  <c:v>100.0</c:v>
                </c:pt>
                <c:pt idx="6">
                  <c:v>100.0</c:v>
                </c:pt>
                <c:pt idx="7">
                  <c:v>100.0</c:v>
                </c:pt>
                <c:pt idx="8">
                  <c:v>100.0</c:v>
                </c:pt>
                <c:pt idx="9">
                  <c:v>100.0</c:v>
                </c:pt>
              </c:numCache>
            </c:numRef>
          </c:val>
          <c:smooth val="0"/>
        </c:ser>
        <c:ser>
          <c:idx val="3"/>
          <c:order val="3"/>
          <c:tx>
            <c:v>Base Demand</c:v>
          </c:tx>
          <c:spPr>
            <a:ln w="11967">
              <a:solidFill>
                <a:srgbClr val="000000"/>
              </a:solidFill>
              <a:prstDash val="sysDash"/>
            </a:ln>
          </c:spPr>
          <c:marker>
            <c:symbol val="none"/>
          </c:marker>
          <c:val>
            <c:numRef>
              <c:f>Sheet1!$E$3:$E$12</c:f>
              <c:numCache>
                <c:formatCode>General</c:formatCode>
                <c:ptCount val="10"/>
                <c:pt idx="0">
                  <c:v>8.0</c:v>
                </c:pt>
                <c:pt idx="1">
                  <c:v>7.5</c:v>
                </c:pt>
                <c:pt idx="2">
                  <c:v>7.0</c:v>
                </c:pt>
                <c:pt idx="3">
                  <c:v>6.5</c:v>
                </c:pt>
                <c:pt idx="4">
                  <c:v>6.0</c:v>
                </c:pt>
                <c:pt idx="5">
                  <c:v>5.5</c:v>
                </c:pt>
                <c:pt idx="6">
                  <c:v>5.0</c:v>
                </c:pt>
                <c:pt idx="7">
                  <c:v>4.5</c:v>
                </c:pt>
                <c:pt idx="8">
                  <c:v>4.0</c:v>
                </c:pt>
                <c:pt idx="9">
                  <c:v>3.5</c:v>
                </c:pt>
              </c:numCache>
            </c:numRef>
          </c:val>
          <c:smooth val="0"/>
        </c:ser>
        <c:ser>
          <c:idx val="4"/>
          <c:order val="4"/>
          <c:tx>
            <c:v>Augmented Demand</c:v>
          </c:tx>
          <c:spPr>
            <a:ln w="11967">
              <a:solidFill>
                <a:srgbClr val="666699"/>
              </a:solidFill>
              <a:prstDash val="sysDash"/>
            </a:ln>
          </c:spPr>
          <c:marker>
            <c:symbol val="none"/>
          </c:marker>
          <c:val>
            <c:numRef>
              <c:f>Sheet1!$F$3:$F$12</c:f>
              <c:numCache>
                <c:formatCode>General</c:formatCode>
                <c:ptCount val="10"/>
                <c:pt idx="0">
                  <c:v>8.75</c:v>
                </c:pt>
                <c:pt idx="1">
                  <c:v>8.25</c:v>
                </c:pt>
                <c:pt idx="2">
                  <c:v>7.75</c:v>
                </c:pt>
                <c:pt idx="3">
                  <c:v>7.25</c:v>
                </c:pt>
                <c:pt idx="4">
                  <c:v>6.75</c:v>
                </c:pt>
                <c:pt idx="5">
                  <c:v>6.25</c:v>
                </c:pt>
                <c:pt idx="6">
                  <c:v>5.75</c:v>
                </c:pt>
                <c:pt idx="7">
                  <c:v>5.25</c:v>
                </c:pt>
                <c:pt idx="8">
                  <c:v>4.75</c:v>
                </c:pt>
                <c:pt idx="9">
                  <c:v>4.25</c:v>
                </c:pt>
              </c:numCache>
            </c:numRef>
          </c:val>
          <c:smooth val="0"/>
        </c:ser>
        <c:dLbls>
          <c:showLegendKey val="0"/>
          <c:showVal val="0"/>
          <c:showCatName val="0"/>
          <c:showSerName val="0"/>
          <c:showPercent val="0"/>
          <c:showBubbleSize val="0"/>
        </c:dLbls>
        <c:marker val="1"/>
        <c:smooth val="0"/>
        <c:axId val="2123675560"/>
        <c:axId val="2090722472"/>
      </c:lineChart>
      <c:catAx>
        <c:axId val="2123675560"/>
        <c:scaling>
          <c:orientation val="minMax"/>
        </c:scaling>
        <c:delete val="0"/>
        <c:axPos val="b"/>
        <c:title>
          <c:tx>
            <c:rich>
              <a:bodyPr/>
              <a:lstStyle/>
              <a:p>
                <a:pPr>
                  <a:defRPr sz="645" b="1" i="0" u="none" strike="noStrike" baseline="0">
                    <a:solidFill>
                      <a:srgbClr val="000000"/>
                    </a:solidFill>
                    <a:latin typeface="Verdana"/>
                    <a:ea typeface="Verdana"/>
                    <a:cs typeface="Verdana"/>
                  </a:defRPr>
                </a:pPr>
                <a:r>
                  <a:rPr lang="en-US"/>
                  <a:t>Additional Quantity</a:t>
                </a:r>
              </a:p>
            </c:rich>
          </c:tx>
          <c:layout>
            <c:manualLayout>
              <c:xMode val="edge"/>
              <c:yMode val="edge"/>
              <c:x val="0.385561450617684"/>
              <c:y val="0.957835007466174"/>
            </c:manualLayout>
          </c:layout>
          <c:overlay val="0"/>
          <c:spPr>
            <a:noFill/>
            <a:ln w="23935">
              <a:noFill/>
            </a:ln>
          </c:spPr>
        </c:title>
        <c:numFmt formatCode="General" sourceLinked="1"/>
        <c:majorTickMark val="out"/>
        <c:minorTickMark val="none"/>
        <c:tickLblPos val="nextTo"/>
        <c:spPr>
          <a:ln w="2992">
            <a:solidFill>
              <a:srgbClr val="000000"/>
            </a:solidFill>
            <a:prstDash val="solid"/>
          </a:ln>
        </c:spPr>
        <c:txPr>
          <a:bodyPr rot="0" vert="horz"/>
          <a:lstStyle/>
          <a:p>
            <a:pPr>
              <a:defRPr sz="645" b="0" i="0" u="none" strike="noStrike" baseline="0">
                <a:solidFill>
                  <a:srgbClr val="000000"/>
                </a:solidFill>
                <a:latin typeface="Verdana"/>
                <a:ea typeface="Verdana"/>
                <a:cs typeface="Verdana"/>
              </a:defRPr>
            </a:pPr>
            <a:endParaRPr lang="en-US"/>
          </a:p>
        </c:txPr>
        <c:crossAx val="2090722472"/>
        <c:crosses val="autoZero"/>
        <c:auto val="1"/>
        <c:lblAlgn val="ctr"/>
        <c:lblOffset val="100"/>
        <c:tickLblSkip val="1"/>
        <c:tickMarkSkip val="1"/>
        <c:noMultiLvlLbl val="0"/>
      </c:catAx>
      <c:valAx>
        <c:axId val="2090722472"/>
        <c:scaling>
          <c:orientation val="minMax"/>
          <c:max val="10.0"/>
          <c:min val="3.0"/>
        </c:scaling>
        <c:delete val="0"/>
        <c:axPos val="l"/>
        <c:majorGridlines>
          <c:spPr>
            <a:ln w="2992">
              <a:solidFill>
                <a:srgbClr val="FFFFFF"/>
              </a:solidFill>
              <a:prstDash val="sysDash"/>
            </a:ln>
          </c:spPr>
        </c:majorGridlines>
        <c:title>
          <c:tx>
            <c:rich>
              <a:bodyPr/>
              <a:lstStyle/>
              <a:p>
                <a:pPr>
                  <a:defRPr sz="645" b="1" i="0" u="none" strike="noStrike" baseline="0">
                    <a:solidFill>
                      <a:srgbClr val="000000"/>
                    </a:solidFill>
                    <a:latin typeface="Verdana"/>
                    <a:ea typeface="Verdana"/>
                    <a:cs typeface="Verdana"/>
                  </a:defRPr>
                </a:pPr>
                <a:r>
                  <a:rPr lang="en-US"/>
                  <a:t>Price</a:t>
                </a:r>
              </a:p>
            </c:rich>
          </c:tx>
          <c:layout>
            <c:manualLayout>
              <c:xMode val="edge"/>
              <c:yMode val="edge"/>
              <c:x val="0.0122085727751906"/>
              <c:y val="0.476345983067907"/>
            </c:manualLayout>
          </c:layout>
          <c:overlay val="0"/>
          <c:spPr>
            <a:noFill/>
            <a:ln w="23935">
              <a:noFill/>
            </a:ln>
          </c:spPr>
        </c:title>
        <c:numFmt formatCode="General" sourceLinked="1"/>
        <c:majorTickMark val="out"/>
        <c:minorTickMark val="none"/>
        <c:tickLblPos val="nextTo"/>
        <c:spPr>
          <a:ln w="2992">
            <a:solidFill>
              <a:srgbClr val="000000"/>
            </a:solidFill>
            <a:prstDash val="solid"/>
          </a:ln>
        </c:spPr>
        <c:txPr>
          <a:bodyPr rot="0" vert="horz"/>
          <a:lstStyle/>
          <a:p>
            <a:pPr>
              <a:defRPr sz="645" b="0" i="0" u="none" strike="noStrike" baseline="0">
                <a:solidFill>
                  <a:srgbClr val="000000"/>
                </a:solidFill>
                <a:latin typeface="Verdana"/>
                <a:ea typeface="Verdana"/>
                <a:cs typeface="Verdana"/>
              </a:defRPr>
            </a:pPr>
            <a:endParaRPr lang="en-US"/>
          </a:p>
        </c:txPr>
        <c:crossAx val="2123675560"/>
        <c:crosses val="autoZero"/>
        <c:crossBetween val="between"/>
      </c:valAx>
      <c:spPr>
        <a:noFill/>
        <a:ln w="2992">
          <a:solidFill>
            <a:srgbClr val="808080"/>
          </a:solidFill>
          <a:prstDash val="solid"/>
        </a:ln>
      </c:spPr>
    </c:plotArea>
    <c:plotVisOnly val="1"/>
    <c:dispBlanksAs val="gap"/>
    <c:showDLblsOverMax val="0"/>
  </c:chart>
  <c:spPr>
    <a:noFill/>
    <a:ln>
      <a:noFill/>
    </a:ln>
  </c:spPr>
  <c:txPr>
    <a:bodyPr/>
    <a:lstStyle/>
    <a:p>
      <a:pPr>
        <a:defRPr sz="645" b="0" i="0" u="none" strike="noStrike" baseline="0">
          <a:solidFill>
            <a:srgbClr val="000000"/>
          </a:solidFill>
          <a:latin typeface="Verdana"/>
          <a:ea typeface="Verdana"/>
          <a:cs typeface="Verdana"/>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0.25301</cdr:x>
      <cdr:y>0.29626</cdr:y>
    </cdr:from>
    <cdr:to>
      <cdr:x>0.52589</cdr:x>
      <cdr:y>0.35491</cdr:y>
    </cdr:to>
    <cdr:sp macro="" textlink="">
      <cdr:nvSpPr>
        <cdr:cNvPr id="2" name="TextBox 1"/>
        <cdr:cNvSpPr txBox="1"/>
      </cdr:nvSpPr>
      <cdr:spPr>
        <a:xfrm xmlns:a="http://schemas.openxmlformats.org/drawingml/2006/main">
          <a:off x="1438274" y="1152525"/>
          <a:ext cx="1590675" cy="2286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solidFill>
                <a:srgbClr val="7030A0"/>
              </a:solidFill>
            </a:rPr>
            <a:t>Augmented Demand</a:t>
          </a:r>
        </a:p>
      </cdr:txBody>
    </cdr:sp>
  </cdr:relSizeAnchor>
  <cdr:relSizeAnchor xmlns:cdr="http://schemas.openxmlformats.org/drawingml/2006/chartDrawing">
    <cdr:from>
      <cdr:x>0.13844</cdr:x>
      <cdr:y>0.44263</cdr:y>
    </cdr:from>
    <cdr:to>
      <cdr:x>0.30663</cdr:x>
      <cdr:y>0.49878</cdr:y>
    </cdr:to>
    <cdr:sp macro="" textlink="">
      <cdr:nvSpPr>
        <cdr:cNvPr id="3" name="TextBox 1"/>
        <cdr:cNvSpPr txBox="1"/>
      </cdr:nvSpPr>
      <cdr:spPr>
        <a:xfrm xmlns:a="http://schemas.openxmlformats.org/drawingml/2006/main">
          <a:off x="771525" y="1724024"/>
          <a:ext cx="981075" cy="2190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a:t>Base Demand</a:t>
          </a:r>
        </a:p>
      </cdr:txBody>
    </cdr:sp>
  </cdr:relSizeAnchor>
  <cdr:relSizeAnchor xmlns:cdr="http://schemas.openxmlformats.org/drawingml/2006/chartDrawing">
    <cdr:from>
      <cdr:x>0.3591</cdr:x>
      <cdr:y>0.66771</cdr:y>
    </cdr:from>
    <cdr:to>
      <cdr:x>0.63222</cdr:x>
      <cdr:y>0.72636</cdr:y>
    </cdr:to>
    <cdr:sp macro="" textlink="">
      <cdr:nvSpPr>
        <cdr:cNvPr id="4" name="TextBox 1"/>
        <cdr:cNvSpPr txBox="1"/>
      </cdr:nvSpPr>
      <cdr:spPr>
        <a:xfrm xmlns:a="http://schemas.openxmlformats.org/drawingml/2006/main">
          <a:off x="2057400" y="2600325"/>
          <a:ext cx="1590675" cy="228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a:solidFill>
                <a:srgbClr val="00B050"/>
              </a:solidFill>
            </a:rPr>
            <a:t>Infinitely Elastic Supply</a:t>
          </a:r>
        </a:p>
      </cdr:txBody>
    </cdr:sp>
  </cdr:relSizeAnchor>
  <cdr:relSizeAnchor xmlns:cdr="http://schemas.openxmlformats.org/drawingml/2006/chartDrawing">
    <cdr:from>
      <cdr:x>0.12526</cdr:x>
      <cdr:y>0.14437</cdr:y>
    </cdr:from>
    <cdr:to>
      <cdr:x>0.4212</cdr:x>
      <cdr:y>0.196</cdr:y>
    </cdr:to>
    <cdr:sp macro="" textlink="">
      <cdr:nvSpPr>
        <cdr:cNvPr id="5" name="TextBox 1"/>
        <cdr:cNvSpPr txBox="1"/>
      </cdr:nvSpPr>
      <cdr:spPr>
        <a:xfrm xmlns:a="http://schemas.openxmlformats.org/drawingml/2006/main">
          <a:off x="695325" y="561975"/>
          <a:ext cx="1724025" cy="2000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a:solidFill>
                <a:srgbClr val="FF0000"/>
              </a:solidFill>
            </a:rPr>
            <a:t>Perfectly Inelastic Supply</a:t>
          </a:r>
        </a:p>
      </cdr:txBody>
    </cdr:sp>
  </cdr:relSizeAnchor>
  <cdr:relSizeAnchor xmlns:cdr="http://schemas.openxmlformats.org/drawingml/2006/chartDrawing">
    <cdr:from>
      <cdr:x>0.72208</cdr:x>
      <cdr:y>0.18848</cdr:y>
    </cdr:from>
    <cdr:to>
      <cdr:x>0.93804</cdr:x>
      <cdr:y>0.22758</cdr:y>
    </cdr:to>
    <cdr:sp macro="" textlink="">
      <cdr:nvSpPr>
        <cdr:cNvPr id="6" name="TextBox 1"/>
        <cdr:cNvSpPr txBox="1"/>
      </cdr:nvSpPr>
      <cdr:spPr>
        <a:xfrm xmlns:a="http://schemas.openxmlformats.org/drawingml/2006/main">
          <a:off x="4171950" y="733425"/>
          <a:ext cx="1257300" cy="1524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a:solidFill>
                <a:schemeClr val="tx2"/>
              </a:solidFill>
            </a:rPr>
            <a:t>Stepwise Supply</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15</Pages>
  <Words>5518</Words>
  <Characters>31455</Characters>
  <Application>Microsoft Macintosh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36900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Lentz</dc:creator>
  <cp:lastModifiedBy>Erin Lentz</cp:lastModifiedBy>
  <cp:revision>2</cp:revision>
  <cp:lastPrinted>2012-03-06T21:18:00Z</cp:lastPrinted>
  <dcterms:created xsi:type="dcterms:W3CDTF">2012-03-26T15:43:00Z</dcterms:created>
  <dcterms:modified xsi:type="dcterms:W3CDTF">2012-03-26T15:43:00Z</dcterms:modified>
</cp:coreProperties>
</file>